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CA2985" w14:textId="32BF78A7" w:rsidR="00650BC7" w:rsidRDefault="00650BC7" w:rsidP="00650BC7">
      <w:pPr>
        <w:spacing w:after="160" w:line="259" w:lineRule="auto"/>
        <w:jc w:val="center"/>
      </w:pPr>
    </w:p>
    <w:p w14:paraId="3ABDC2A9" w14:textId="77777777" w:rsidR="00005790" w:rsidRDefault="00005790" w:rsidP="00650BC7">
      <w:pPr>
        <w:spacing w:after="160" w:line="259" w:lineRule="auto"/>
        <w:jc w:val="center"/>
      </w:pPr>
    </w:p>
    <w:p w14:paraId="4A3E0A8D" w14:textId="77777777" w:rsidR="00476A7E" w:rsidRDefault="00476A7E">
      <w:pPr>
        <w:spacing w:after="160" w:line="259" w:lineRule="auto"/>
      </w:pPr>
    </w:p>
    <w:p w14:paraId="3E8D805A" w14:textId="77777777" w:rsidR="00005790" w:rsidRDefault="00005790">
      <w:pPr>
        <w:spacing w:after="160" w:line="259" w:lineRule="auto"/>
      </w:pPr>
    </w:p>
    <w:p w14:paraId="73537FCD" w14:textId="77777777" w:rsidR="00CA0DF7" w:rsidRDefault="00CA0DF7">
      <w:pPr>
        <w:spacing w:after="160" w:line="259" w:lineRule="auto"/>
      </w:pPr>
    </w:p>
    <w:p w14:paraId="65D619C4" w14:textId="2B0D7AD1" w:rsidR="00CA0DF7" w:rsidRPr="00472EAB" w:rsidRDefault="00CA0DF7" w:rsidP="00CA0DF7">
      <w:pPr>
        <w:pStyle w:val="Titre"/>
        <w:jc w:val="center"/>
        <w:rPr>
          <w:b/>
          <w:sz w:val="36"/>
        </w:rPr>
      </w:pPr>
      <w:r w:rsidRPr="00472EAB">
        <w:rPr>
          <w:b/>
          <w:sz w:val="36"/>
        </w:rPr>
        <w:t xml:space="preserve">Guide pratique pour faCILITER l’accès des TPE/PME </w:t>
      </w:r>
      <w:r w:rsidR="00DF5AD3">
        <w:rPr>
          <w:b/>
          <w:sz w:val="36"/>
        </w:rPr>
        <w:br/>
      </w:r>
      <w:r w:rsidRPr="00472EAB">
        <w:rPr>
          <w:b/>
          <w:sz w:val="36"/>
        </w:rPr>
        <w:t>à la commande publique</w:t>
      </w:r>
    </w:p>
    <w:p w14:paraId="36FF8570" w14:textId="77777777" w:rsidR="00CA0DF7" w:rsidRDefault="00CA0DF7">
      <w:pPr>
        <w:spacing w:after="160" w:line="259" w:lineRule="auto"/>
      </w:pPr>
    </w:p>
    <w:p w14:paraId="7DE7BEBE" w14:textId="77777777" w:rsidR="00005790" w:rsidRDefault="00005790">
      <w:pPr>
        <w:spacing w:after="160" w:line="259" w:lineRule="auto"/>
      </w:pPr>
    </w:p>
    <w:p w14:paraId="5581DAE1" w14:textId="77777777" w:rsidR="00005790" w:rsidRDefault="00005790">
      <w:pPr>
        <w:spacing w:after="160" w:line="259" w:lineRule="auto"/>
      </w:pPr>
    </w:p>
    <w:p w14:paraId="71B6CFF0" w14:textId="77777777" w:rsidR="00005790" w:rsidRDefault="00005790">
      <w:pPr>
        <w:spacing w:after="160" w:line="259" w:lineRule="auto"/>
      </w:pPr>
    </w:p>
    <w:p w14:paraId="0D54211A" w14:textId="77777777" w:rsidR="00005790" w:rsidRDefault="00005790">
      <w:pPr>
        <w:spacing w:after="160" w:line="259" w:lineRule="auto"/>
      </w:pPr>
    </w:p>
    <w:p w14:paraId="6F86A01C" w14:textId="77777777" w:rsidR="00005790" w:rsidRDefault="00005790">
      <w:pPr>
        <w:spacing w:after="160" w:line="259" w:lineRule="auto"/>
      </w:pPr>
    </w:p>
    <w:p w14:paraId="1AB93ED2" w14:textId="77777777" w:rsidR="00005790" w:rsidRDefault="00005790">
      <w:pPr>
        <w:spacing w:after="160" w:line="259" w:lineRule="auto"/>
      </w:pPr>
    </w:p>
    <w:p w14:paraId="4FABC073" w14:textId="77777777" w:rsidR="00005790" w:rsidRDefault="00005790">
      <w:pPr>
        <w:spacing w:after="160" w:line="259" w:lineRule="auto"/>
      </w:pPr>
    </w:p>
    <w:p w14:paraId="0B02E488" w14:textId="77777777" w:rsidR="00005790" w:rsidRDefault="00005790">
      <w:pPr>
        <w:spacing w:after="160" w:line="259" w:lineRule="auto"/>
      </w:pPr>
    </w:p>
    <w:p w14:paraId="42623C2C" w14:textId="77777777" w:rsidR="00005790" w:rsidRDefault="00005790">
      <w:pPr>
        <w:spacing w:after="160" w:line="259" w:lineRule="auto"/>
      </w:pPr>
    </w:p>
    <w:p w14:paraId="4DAB3009" w14:textId="77777777" w:rsidR="00005790" w:rsidRDefault="00005790">
      <w:pPr>
        <w:spacing w:after="160" w:line="259" w:lineRule="auto"/>
      </w:pPr>
    </w:p>
    <w:p w14:paraId="2AAA81C8" w14:textId="77777777" w:rsidR="00CA0DF7" w:rsidRDefault="00CA0DF7">
      <w:pPr>
        <w:spacing w:after="160" w:line="259" w:lineRule="auto"/>
      </w:pPr>
    </w:p>
    <w:p w14:paraId="035307F8" w14:textId="798A9655" w:rsidR="00CA0DF7" w:rsidRDefault="00005790" w:rsidP="00005790">
      <w:pPr>
        <w:spacing w:after="160" w:line="259" w:lineRule="auto"/>
        <w:jc w:val="center"/>
      </w:pPr>
      <w:r w:rsidRPr="00005790">
        <w:rPr>
          <w:noProof/>
          <w:lang w:eastAsia="fr-FR"/>
        </w:rPr>
        <w:drawing>
          <wp:inline distT="0" distB="0" distL="0" distR="0" wp14:anchorId="54B63B15" wp14:editId="6E056660">
            <wp:extent cx="1533525" cy="1296988"/>
            <wp:effectExtent l="0" t="0" r="0" b="0"/>
            <wp:docPr id="6151" name="Picture 8" descr="Logo OE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1" name="Picture 8" descr="Logo OEA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1296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383B783A" w14:textId="77777777" w:rsidR="00CA0DF7" w:rsidRDefault="00CA0DF7">
      <w:pPr>
        <w:spacing w:after="160" w:line="259" w:lineRule="auto"/>
      </w:pPr>
    </w:p>
    <w:p w14:paraId="1734479A" w14:textId="77777777" w:rsidR="00CA0DF7" w:rsidRDefault="00CA0DF7">
      <w:pPr>
        <w:spacing w:after="160" w:line="259" w:lineRule="auto"/>
        <w:sectPr w:rsidR="00CA0DF7" w:rsidSect="00191A44">
          <w:headerReference w:type="even" r:id="rId9"/>
          <w:headerReference w:type="default" r:id="rId10"/>
          <w:footerReference w:type="default" r:id="rId11"/>
          <w:headerReference w:type="first" r:id="rId12"/>
          <w:pgSz w:w="11906" w:h="16838"/>
          <w:pgMar w:top="1417" w:right="1417" w:bottom="1417" w:left="1417" w:header="283" w:footer="708" w:gutter="0"/>
          <w:cols w:space="708"/>
          <w:titlePg/>
          <w:docGrid w:linePitch="360"/>
        </w:sectPr>
      </w:pPr>
    </w:p>
    <w:p w14:paraId="0F1C691B" w14:textId="62149D01" w:rsidR="00781998" w:rsidRDefault="00781998" w:rsidP="00266388">
      <w:pPr>
        <w:pStyle w:val="Titre1"/>
        <w:spacing w:before="360" w:after="360"/>
      </w:pPr>
      <w:bookmarkStart w:id="0" w:name="_Toc2867165"/>
      <w:bookmarkStart w:id="1" w:name="_Toc7425920"/>
      <w:r>
        <w:lastRenderedPageBreak/>
        <w:t>Introduction</w:t>
      </w:r>
      <w:bookmarkEnd w:id="1"/>
      <w:r>
        <w:t xml:space="preserve"> </w:t>
      </w:r>
    </w:p>
    <w:p w14:paraId="371EDFD1" w14:textId="7F2EA0E8" w:rsidR="004873E4" w:rsidRDefault="003B6CF7" w:rsidP="001C2532">
      <w:pPr>
        <w:spacing w:after="120"/>
        <w:jc w:val="both"/>
      </w:pPr>
      <w:r>
        <w:t xml:space="preserve">Dans </w:t>
      </w:r>
      <w:r w:rsidR="004873E4">
        <w:t xml:space="preserve">la lignée des précédents travaux menés par l’Observatoire, ce guide a pour objet de </w:t>
      </w:r>
      <w:r w:rsidR="004873E4" w:rsidRPr="005E53F7">
        <w:rPr>
          <w:b/>
        </w:rPr>
        <w:t>poursuivre la démarche de facilitation</w:t>
      </w:r>
      <w:r w:rsidR="004873E4">
        <w:t xml:space="preserve"> de l’accès des TPE/PME à la commande publique, dans un contexte d’évolution normative, mais également de transformation numérique. </w:t>
      </w:r>
    </w:p>
    <w:p w14:paraId="09E73389" w14:textId="72C7E23E" w:rsidR="00586193" w:rsidRDefault="00586193" w:rsidP="001C2532">
      <w:pPr>
        <w:spacing w:after="120"/>
        <w:jc w:val="both"/>
      </w:pPr>
      <w:r w:rsidRPr="00586193">
        <w:t xml:space="preserve">Loin de n’être qu’une simple évolution technologique, la </w:t>
      </w:r>
      <w:r w:rsidRPr="00586193">
        <w:rPr>
          <w:b/>
        </w:rPr>
        <w:t>transformation numérique</w:t>
      </w:r>
      <w:r w:rsidRPr="00586193">
        <w:t xml:space="preserve"> doit générer d’importants progrès en matière de transparence et de simplification pour les opérateurs économiques et pour les acheteurs.</w:t>
      </w:r>
      <w:r>
        <w:t xml:space="preserve"> </w:t>
      </w:r>
      <w:r w:rsidRPr="00586193">
        <w:t>Elle implique de la part de ces acteurs de</w:t>
      </w:r>
      <w:r w:rsidR="00CA271D">
        <w:t xml:space="preserve"> nouvelles</w:t>
      </w:r>
      <w:r w:rsidRPr="00586193">
        <w:t xml:space="preserve"> compétences, d</w:t>
      </w:r>
      <w:r w:rsidR="00CA271D">
        <w:t>es changements d’usages et</w:t>
      </w:r>
      <w:r w:rsidRPr="00586193">
        <w:t xml:space="preserve"> d’organisation</w:t>
      </w:r>
      <w:r w:rsidR="00CA271D">
        <w:t>.</w:t>
      </w:r>
      <w:r>
        <w:t xml:space="preserve"> Pour relever ces défis et accompagner </w:t>
      </w:r>
      <w:r w:rsidR="005F424F">
        <w:t>la</w:t>
      </w:r>
      <w:r>
        <w:t xml:space="preserve"> démarche, </w:t>
      </w:r>
      <w:r w:rsidR="005F424F">
        <w:t xml:space="preserve">la Direction des affaires juridiques a publié </w:t>
      </w:r>
      <w:r w:rsidR="006C7FB0">
        <w:t>d</w:t>
      </w:r>
      <w:r w:rsidR="005F424F">
        <w:t xml:space="preserve">eux guides </w:t>
      </w:r>
      <w:r w:rsidR="009F2AB1">
        <w:t xml:space="preserve">« très pratiques » </w:t>
      </w:r>
      <w:r w:rsidR="006C7FB0">
        <w:t xml:space="preserve">entièrement </w:t>
      </w:r>
      <w:r w:rsidR="005F424F">
        <w:t xml:space="preserve">dédiés à la </w:t>
      </w:r>
      <w:hyperlink r:id="rId13" w:history="1">
        <w:r w:rsidR="005F424F" w:rsidRPr="006C7FB0">
          <w:rPr>
            <w:rStyle w:val="Lienhypertexte"/>
          </w:rPr>
          <w:t>dématérialisation des marchés publics</w:t>
        </w:r>
      </w:hyperlink>
      <w:r w:rsidR="006C7FB0">
        <w:t>.</w:t>
      </w:r>
      <w:r w:rsidR="00CA271D">
        <w:t xml:space="preserve"> </w:t>
      </w:r>
    </w:p>
    <w:p w14:paraId="3082B892" w14:textId="32DC075C" w:rsidR="00CB3CB8" w:rsidRDefault="005F424F" w:rsidP="001C2532">
      <w:pPr>
        <w:spacing w:after="120"/>
        <w:jc w:val="both"/>
      </w:pPr>
      <w:r>
        <w:t>Dans le présent guide, i</w:t>
      </w:r>
      <w:r w:rsidR="00242452">
        <w:t>l s’agit, d’une part, de consolider le « réflexe PME » des acheteurs, qui doivent adapter leurs consultations afin que celles-ci soient réellement accessibles à tous types d’entreprises et</w:t>
      </w:r>
      <w:r w:rsidR="003F57F5">
        <w:t xml:space="preserve"> favoriser ainsi la concurrence</w:t>
      </w:r>
      <w:r w:rsidR="00242452">
        <w:t xml:space="preserve">, d’autre part, d’accompagner </w:t>
      </w:r>
      <w:r w:rsidR="00F126B7">
        <w:t>les opérateurs économiques vers une bonne appréhension des potentialités offertes par la commande publique.</w:t>
      </w:r>
      <w:r w:rsidR="00242452">
        <w:t xml:space="preserve"> </w:t>
      </w:r>
    </w:p>
    <w:p w14:paraId="0B556499" w14:textId="6388B746" w:rsidR="00F27DCD" w:rsidRDefault="00F27DCD" w:rsidP="001C2532">
      <w:pPr>
        <w:spacing w:after="120"/>
        <w:jc w:val="both"/>
      </w:pPr>
      <w:r>
        <w:t xml:space="preserve">En effet, si l’impact économique des marchés publics n’est plus à démontrer (89,3 Mds d’€ pour 163 519 contrats recensés en 2017), la </w:t>
      </w:r>
      <w:r w:rsidRPr="005445E0">
        <w:rPr>
          <w:b/>
        </w:rPr>
        <w:t>part des PME</w:t>
      </w:r>
      <w:r>
        <w:t xml:space="preserve"> titulaires </w:t>
      </w:r>
      <w:r w:rsidR="007875C5">
        <w:t xml:space="preserve">est </w:t>
      </w:r>
      <w:r w:rsidR="007875C5" w:rsidRPr="005445E0">
        <w:rPr>
          <w:b/>
        </w:rPr>
        <w:t>stable</w:t>
      </w:r>
      <w:r>
        <w:t xml:space="preserve"> aux alen</w:t>
      </w:r>
      <w:r w:rsidR="00F26FC2">
        <w:t>tours de 30%</w:t>
      </w:r>
      <w:r w:rsidR="007875C5">
        <w:t xml:space="preserve"> du montant total des marchés, bien qu’elles représentent 60 % du nombre total des marchés passés</w:t>
      </w:r>
      <w:r w:rsidR="00F26FC2">
        <w:t xml:space="preserve">. Ce phénomène peut s’expliquer notamment par </w:t>
      </w:r>
      <w:r w:rsidR="00D851F0">
        <w:t>un</w:t>
      </w:r>
      <w:r w:rsidR="00F26FC2">
        <w:t xml:space="preserve"> manque d’attractivité du secteur public (perçu comme complexe) et par l’emploi de clauses contractuelles standards, parfois inadaptées à des petits opérateurs et donc dissuasives. </w:t>
      </w:r>
    </w:p>
    <w:p w14:paraId="532ED426" w14:textId="0017DC90" w:rsidR="00C15555" w:rsidRDefault="00C15555" w:rsidP="00F94B49">
      <w:pPr>
        <w:spacing w:after="120"/>
        <w:jc w:val="both"/>
      </w:pPr>
      <w:r>
        <w:t>En complément des récentes mesures réglementaires récemment adoptées en faveur des TPE/PME pour les marchés publics de l’Etat (augmentation des avances, diminution de la retenue de garantie…)</w:t>
      </w:r>
      <w:r>
        <w:rPr>
          <w:rStyle w:val="Appelnotedebasdep"/>
        </w:rPr>
        <w:footnoteReference w:id="1"/>
      </w:r>
      <w:r>
        <w:t>,</w:t>
      </w:r>
      <w:r w:rsidR="000B7A2C">
        <w:t xml:space="preserve"> l’OECP a </w:t>
      </w:r>
      <w:r w:rsidR="00C22F78">
        <w:t>identifié les pratiques d’achat comme axe d’effort et a décidé d’y travailler</w:t>
      </w:r>
      <w:r w:rsidR="000B7A2C">
        <w:t xml:space="preserve"> avec l’ens</w:t>
      </w:r>
      <w:r w:rsidR="00C22F78">
        <w:t>emble des parties prenantes</w:t>
      </w:r>
      <w:r w:rsidR="000B7A2C">
        <w:t xml:space="preserve">. </w:t>
      </w:r>
    </w:p>
    <w:p w14:paraId="7CDC56D6" w14:textId="64EC48CE" w:rsidR="004873E4" w:rsidRDefault="00764096" w:rsidP="00F94B49">
      <w:pPr>
        <w:spacing w:after="120"/>
        <w:jc w:val="both"/>
      </w:pPr>
      <w:r>
        <w:t xml:space="preserve">Mutualiser les </w:t>
      </w:r>
      <w:r w:rsidRPr="005E53F7">
        <w:rPr>
          <w:b/>
        </w:rPr>
        <w:t>bonnes pratiques en matière d’achat</w:t>
      </w:r>
      <w:r w:rsidR="00573A34">
        <w:t xml:space="preserve">, </w:t>
      </w:r>
      <w:r>
        <w:t>identifier les comportements qui seraient susceptibles de constituer un frein à l’accès des TPE/PME à la commande publique,</w:t>
      </w:r>
      <w:r w:rsidR="00573A34">
        <w:t xml:space="preserve"> favoriser l’anticipation et la concertation,</w:t>
      </w:r>
      <w:r>
        <w:t xml:space="preserve"> tels ont été les objectifs du groupe de travail regroup</w:t>
      </w:r>
      <w:r w:rsidR="00943FCA">
        <w:t>ant</w:t>
      </w:r>
      <w:r>
        <w:t xml:space="preserve"> fédérations </w:t>
      </w:r>
      <w:r w:rsidR="00823A43">
        <w:t>professionnelles et acheteurs</w:t>
      </w:r>
      <w:r w:rsidR="00F27DCD">
        <w:t>.</w:t>
      </w:r>
      <w:r w:rsidR="00823A43">
        <w:t xml:space="preserve"> </w:t>
      </w:r>
    </w:p>
    <w:p w14:paraId="7383FD71" w14:textId="53A01612" w:rsidR="00F94B49" w:rsidRDefault="00F94B49" w:rsidP="00823A43">
      <w:pPr>
        <w:jc w:val="both"/>
      </w:pPr>
      <w:r>
        <w:t xml:space="preserve">La plupart des thèmes abordés </w:t>
      </w:r>
      <w:r w:rsidR="000A57CB">
        <w:t>ci-après</w:t>
      </w:r>
      <w:r>
        <w:t xml:space="preserve"> peuvent sembler éculés, tant ils ont été évoqués depuis une dizaine d’années, cependant les échanges au sein du groupe de travail ont convaincu les membres de la nécessité de </w:t>
      </w:r>
      <w:r w:rsidRPr="00F94B49">
        <w:rPr>
          <w:b/>
        </w:rPr>
        <w:t>rappeler certains fondamentaux</w:t>
      </w:r>
      <w:r>
        <w:t xml:space="preserve"> </w:t>
      </w:r>
      <w:r w:rsidR="005F424F">
        <w:t>(allotissement, groupements momentanés d’entreprises</w:t>
      </w:r>
      <w:r w:rsidR="00275D97">
        <w:t>, avances</w:t>
      </w:r>
      <w:r w:rsidR="005F424F">
        <w:t xml:space="preserve">…) </w:t>
      </w:r>
      <w:r>
        <w:t xml:space="preserve">et de </w:t>
      </w:r>
      <w:r w:rsidRPr="00F94B49">
        <w:rPr>
          <w:b/>
        </w:rPr>
        <w:t>dégager de nouvelles pistes de progrès</w:t>
      </w:r>
      <w:r w:rsidR="005F424F">
        <w:rPr>
          <w:b/>
        </w:rPr>
        <w:t xml:space="preserve"> </w:t>
      </w:r>
      <w:r w:rsidR="005F424F" w:rsidRPr="005F424F">
        <w:t xml:space="preserve">(allongement des délais de </w:t>
      </w:r>
      <w:r w:rsidR="00A716A4">
        <w:t>réponse aux consultations</w:t>
      </w:r>
      <w:r w:rsidR="005F424F" w:rsidRPr="005F424F">
        <w:t>, développement du sourcing…)</w:t>
      </w:r>
      <w:r w:rsidR="00F75A4D" w:rsidRPr="005F424F">
        <w:t>.</w:t>
      </w:r>
      <w:r w:rsidR="00F75A4D">
        <w:t xml:space="preserve"> </w:t>
      </w:r>
    </w:p>
    <w:p w14:paraId="296CFD71" w14:textId="73E2F47E" w:rsidR="00292EB2" w:rsidRDefault="006C7FB0" w:rsidP="00175D63">
      <w:pPr>
        <w:spacing w:after="240"/>
        <w:jc w:val="both"/>
      </w:pPr>
      <w:r>
        <w:rPr>
          <w:noProof/>
          <w:lang w:eastAsia="fr-FR"/>
        </w:rPr>
        <w:drawing>
          <wp:anchor distT="0" distB="0" distL="114300" distR="114300" simplePos="0" relativeHeight="251817984" behindDoc="0" locked="0" layoutInCell="1" allowOverlap="1" wp14:anchorId="7356EB31" wp14:editId="3CDCE81F">
            <wp:simplePos x="0" y="0"/>
            <wp:positionH relativeFrom="margin">
              <wp:align>left</wp:align>
            </wp:positionH>
            <wp:positionV relativeFrom="paragraph">
              <wp:posOffset>6375</wp:posOffset>
            </wp:positionV>
            <wp:extent cx="460375" cy="460375"/>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oolbox.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6298" cy="466298"/>
                    </a:xfrm>
                    <a:prstGeom prst="rect">
                      <a:avLst/>
                    </a:prstGeom>
                  </pic:spPr>
                </pic:pic>
              </a:graphicData>
            </a:graphic>
            <wp14:sizeRelH relativeFrom="margin">
              <wp14:pctWidth>0</wp14:pctWidth>
            </wp14:sizeRelH>
            <wp14:sizeRelV relativeFrom="margin">
              <wp14:pctHeight>0</wp14:pctHeight>
            </wp14:sizeRelV>
          </wp:anchor>
        </w:drawing>
      </w:r>
      <w:r w:rsidR="001F7994" w:rsidRPr="001F7994">
        <w:t xml:space="preserve">Les éléments contenus dans le présent guide restent cependant indicatifs : les </w:t>
      </w:r>
      <w:r w:rsidR="001F7994" w:rsidRPr="006F37D4">
        <w:rPr>
          <w:b/>
        </w:rPr>
        <w:t>leviers d’action</w:t>
      </w:r>
      <w:r w:rsidR="001F7994" w:rsidRPr="001F7994">
        <w:t xml:space="preserve"> identifiés </w:t>
      </w:r>
      <w:r>
        <w:t xml:space="preserve">(et leurs effets) </w:t>
      </w:r>
      <w:r w:rsidR="001F7994" w:rsidRPr="001F7994">
        <w:t>sont variables d’une situation à l’autre, et ne peuvent être considérés comme pertinents ou efficaces pour toute situation. Il revient donc à chaque structure de me</w:t>
      </w:r>
      <w:r w:rsidR="001F7994">
        <w:t>ttre en œuvre sa propre méthode</w:t>
      </w:r>
      <w:r w:rsidR="00275D97">
        <w:t>, au regard de ses moyens et de ses objectifs stratégiques</w:t>
      </w:r>
      <w:r w:rsidR="001F7994">
        <w:t xml:space="preserve">. </w:t>
      </w:r>
    </w:p>
    <w:p w14:paraId="739B9F75" w14:textId="6139B5B4" w:rsidR="00BC0D89" w:rsidRPr="00175D63" w:rsidRDefault="005F424F" w:rsidP="005F424F">
      <w:pPr>
        <w:ind w:left="4248"/>
      </w:pPr>
      <w:r>
        <w:rPr>
          <w:b/>
        </w:rPr>
        <w:t xml:space="preserve">       </w:t>
      </w:r>
      <w:r w:rsidRPr="00175D63">
        <w:t>L’observatoire économique de la commande publique</w:t>
      </w:r>
      <w:r w:rsidR="00175D63">
        <w:t>.</w:t>
      </w:r>
      <w:r w:rsidRPr="00175D63">
        <w:t xml:space="preserve"> </w:t>
      </w:r>
    </w:p>
    <w:p w14:paraId="0589B61F" w14:textId="344153CD" w:rsidR="00781998" w:rsidRPr="00CC005F" w:rsidRDefault="00F573A7" w:rsidP="005F424F">
      <w:pPr>
        <w:ind w:left="4248"/>
        <w:rPr>
          <w:u w:val="single"/>
        </w:rPr>
      </w:pPr>
      <w:r w:rsidRPr="00CC005F">
        <w:rPr>
          <w:u w:val="single"/>
        </w:rPr>
        <w:br w:type="page"/>
      </w:r>
    </w:p>
    <w:sdt>
      <w:sdtPr>
        <w:rPr>
          <w:b w:val="0"/>
          <w:caps w:val="0"/>
          <w:color w:val="auto"/>
          <w:spacing w:val="0"/>
          <w:sz w:val="20"/>
          <w:szCs w:val="20"/>
        </w:rPr>
        <w:id w:val="926071138"/>
        <w:docPartObj>
          <w:docPartGallery w:val="Table of Contents"/>
          <w:docPartUnique/>
        </w:docPartObj>
      </w:sdtPr>
      <w:sdtEndPr>
        <w:rPr>
          <w:bCs/>
        </w:rPr>
      </w:sdtEndPr>
      <w:sdtContent>
        <w:p w14:paraId="6A876664" w14:textId="4C1966CD" w:rsidR="00781998" w:rsidRDefault="00781998" w:rsidP="00781998">
          <w:pPr>
            <w:pStyle w:val="En-ttedetabledesmatires"/>
            <w:spacing w:before="0"/>
          </w:pPr>
          <w:r>
            <w:t>Table des matières</w:t>
          </w:r>
        </w:p>
        <w:p w14:paraId="6CFCD958" w14:textId="77777777" w:rsidR="005C5664" w:rsidRPr="00B64C17" w:rsidRDefault="00781998">
          <w:pPr>
            <w:pStyle w:val="TM1"/>
            <w:rPr>
              <w:rStyle w:val="Lienhypertexte"/>
              <w:noProof/>
              <w:color w:val="auto"/>
            </w:rPr>
          </w:pPr>
          <w:r>
            <w:rPr>
              <w:b/>
              <w:bCs/>
            </w:rPr>
            <w:fldChar w:fldCharType="begin"/>
          </w:r>
          <w:r>
            <w:rPr>
              <w:b/>
              <w:bCs/>
            </w:rPr>
            <w:instrText xml:space="preserve"> TOC \o "1-3" \h \z \u </w:instrText>
          </w:r>
          <w:r>
            <w:rPr>
              <w:b/>
              <w:bCs/>
            </w:rPr>
            <w:fldChar w:fldCharType="separate"/>
          </w:r>
          <w:hyperlink w:anchor="_Toc7425920" w:history="1">
            <w:r w:rsidR="005C5664" w:rsidRPr="005C5664">
              <w:rPr>
                <w:rStyle w:val="Lienhypertexte"/>
                <w:b/>
                <w:noProof/>
                <w:u w:val="none"/>
              </w:rPr>
              <w:t>I</w:t>
            </w:r>
            <w:r w:rsidR="005C5664" w:rsidRPr="005C5664">
              <w:rPr>
                <w:rStyle w:val="Lienhypertexte"/>
                <w:b/>
                <w:noProof/>
              </w:rPr>
              <w:t>ntroduction</w:t>
            </w:r>
            <w:r w:rsidR="005C5664">
              <w:rPr>
                <w:noProof/>
                <w:webHidden/>
              </w:rPr>
              <w:tab/>
            </w:r>
            <w:r w:rsidR="005C5664">
              <w:rPr>
                <w:noProof/>
                <w:webHidden/>
              </w:rPr>
              <w:fldChar w:fldCharType="begin"/>
            </w:r>
            <w:r w:rsidR="005C5664">
              <w:rPr>
                <w:noProof/>
                <w:webHidden/>
              </w:rPr>
              <w:instrText xml:space="preserve"> PAGEREF _Toc7425920 \h </w:instrText>
            </w:r>
            <w:r w:rsidR="005C5664">
              <w:rPr>
                <w:noProof/>
                <w:webHidden/>
              </w:rPr>
            </w:r>
            <w:r w:rsidR="005C5664">
              <w:rPr>
                <w:noProof/>
                <w:webHidden/>
              </w:rPr>
              <w:fldChar w:fldCharType="separate"/>
            </w:r>
            <w:r w:rsidR="00DF5AD3">
              <w:rPr>
                <w:noProof/>
                <w:webHidden/>
              </w:rPr>
              <w:t>1</w:t>
            </w:r>
            <w:r w:rsidR="005C5664">
              <w:rPr>
                <w:noProof/>
                <w:webHidden/>
              </w:rPr>
              <w:fldChar w:fldCharType="end"/>
            </w:r>
          </w:hyperlink>
        </w:p>
        <w:p w14:paraId="1489A1F7" w14:textId="77777777" w:rsidR="005C5664" w:rsidRPr="00B64C17" w:rsidRDefault="005C5664" w:rsidP="005C5664">
          <w:pPr>
            <w:spacing w:before="0" w:after="0"/>
            <w:rPr>
              <w:noProof/>
              <w:sz w:val="16"/>
            </w:rPr>
          </w:pPr>
        </w:p>
        <w:p w14:paraId="3B2AE4A7" w14:textId="77777777" w:rsidR="005C5664" w:rsidRPr="00B64C17" w:rsidRDefault="005C5664">
          <w:pPr>
            <w:pStyle w:val="TM1"/>
            <w:rPr>
              <w:rStyle w:val="Lienhypertexte"/>
              <w:noProof/>
              <w:color w:val="auto"/>
            </w:rPr>
          </w:pPr>
          <w:hyperlink w:anchor="_Toc7425921" w:history="1">
            <w:r w:rsidRPr="00B64C17">
              <w:rPr>
                <w:rStyle w:val="Lienhypertexte"/>
                <w:b/>
                <w:noProof/>
                <w:color w:val="auto"/>
              </w:rPr>
              <w:t>Préambule sur la notion de TPE/PME</w:t>
            </w:r>
            <w:r w:rsidRPr="00B64C17">
              <w:rPr>
                <w:noProof/>
                <w:webHidden/>
              </w:rPr>
              <w:tab/>
            </w:r>
            <w:r w:rsidRPr="00B64C17">
              <w:rPr>
                <w:noProof/>
                <w:webHidden/>
              </w:rPr>
              <w:fldChar w:fldCharType="begin"/>
            </w:r>
            <w:r w:rsidRPr="00B64C17">
              <w:rPr>
                <w:noProof/>
                <w:webHidden/>
              </w:rPr>
              <w:instrText xml:space="preserve"> PAGEREF _Toc7425921 \h </w:instrText>
            </w:r>
            <w:r w:rsidRPr="00B64C17">
              <w:rPr>
                <w:noProof/>
                <w:webHidden/>
              </w:rPr>
            </w:r>
            <w:r w:rsidRPr="00B64C17">
              <w:rPr>
                <w:noProof/>
                <w:webHidden/>
              </w:rPr>
              <w:fldChar w:fldCharType="separate"/>
            </w:r>
            <w:r w:rsidR="00DF5AD3">
              <w:rPr>
                <w:noProof/>
                <w:webHidden/>
              </w:rPr>
              <w:t>3</w:t>
            </w:r>
            <w:r w:rsidRPr="00B64C17">
              <w:rPr>
                <w:noProof/>
                <w:webHidden/>
              </w:rPr>
              <w:fldChar w:fldCharType="end"/>
            </w:r>
          </w:hyperlink>
        </w:p>
        <w:p w14:paraId="7A0DE3FB" w14:textId="77777777" w:rsidR="005C5664" w:rsidRPr="00B64C17" w:rsidRDefault="005C5664" w:rsidP="005C5664">
          <w:pPr>
            <w:spacing w:before="0" w:after="0"/>
            <w:rPr>
              <w:noProof/>
              <w:sz w:val="16"/>
            </w:rPr>
          </w:pPr>
        </w:p>
        <w:p w14:paraId="3C0FA7AB" w14:textId="3FA01D18" w:rsidR="005C5664" w:rsidRPr="00B64C17" w:rsidRDefault="005C5664" w:rsidP="005C5664">
          <w:pPr>
            <w:spacing w:before="0" w:after="0"/>
            <w:rPr>
              <w:b/>
              <w:noProof/>
            </w:rPr>
          </w:pPr>
          <w:r w:rsidRPr="00B64C17">
            <w:rPr>
              <w:b/>
              <w:noProof/>
            </w:rPr>
            <w:t xml:space="preserve">Partie 1 : Préparation de la procédure de passation du marché </w:t>
          </w:r>
        </w:p>
        <w:p w14:paraId="7792B2DB" w14:textId="77777777" w:rsidR="005C5664" w:rsidRPr="00B64C17" w:rsidRDefault="005C5664">
          <w:pPr>
            <w:pStyle w:val="TM1"/>
            <w:rPr>
              <w:noProof/>
              <w:sz w:val="22"/>
              <w:szCs w:val="22"/>
              <w:lang w:eastAsia="fr-FR"/>
            </w:rPr>
          </w:pPr>
          <w:hyperlink w:anchor="_Toc7425922" w:history="1">
            <w:r w:rsidRPr="00B64C17">
              <w:rPr>
                <w:rStyle w:val="Lienhypertexte"/>
                <w:noProof/>
                <w:color w:val="auto"/>
              </w:rPr>
              <w:t>Fiche 1 : Analyser et definir les besoins</w:t>
            </w:r>
            <w:r w:rsidRPr="00B64C17">
              <w:rPr>
                <w:noProof/>
                <w:webHidden/>
              </w:rPr>
              <w:tab/>
            </w:r>
            <w:r w:rsidRPr="00B64C17">
              <w:rPr>
                <w:noProof/>
                <w:webHidden/>
              </w:rPr>
              <w:fldChar w:fldCharType="begin"/>
            </w:r>
            <w:r w:rsidRPr="00B64C17">
              <w:rPr>
                <w:noProof/>
                <w:webHidden/>
              </w:rPr>
              <w:instrText xml:space="preserve"> PAGEREF _Toc7425922 \h </w:instrText>
            </w:r>
            <w:r w:rsidRPr="00B64C17">
              <w:rPr>
                <w:noProof/>
                <w:webHidden/>
              </w:rPr>
            </w:r>
            <w:r w:rsidRPr="00B64C17">
              <w:rPr>
                <w:noProof/>
                <w:webHidden/>
              </w:rPr>
              <w:fldChar w:fldCharType="separate"/>
            </w:r>
            <w:r w:rsidR="00DF5AD3">
              <w:rPr>
                <w:noProof/>
                <w:webHidden/>
              </w:rPr>
              <w:t>4</w:t>
            </w:r>
            <w:r w:rsidRPr="00B64C17">
              <w:rPr>
                <w:noProof/>
                <w:webHidden/>
              </w:rPr>
              <w:fldChar w:fldCharType="end"/>
            </w:r>
          </w:hyperlink>
        </w:p>
        <w:p w14:paraId="51E473BE" w14:textId="1E2D36C1" w:rsidR="005C5664" w:rsidRPr="00B64C17" w:rsidRDefault="005C5664">
          <w:pPr>
            <w:pStyle w:val="TM2"/>
            <w:rPr>
              <w:noProof/>
              <w:sz w:val="22"/>
              <w:szCs w:val="22"/>
              <w:lang w:eastAsia="fr-FR"/>
            </w:rPr>
          </w:pPr>
          <w:hyperlink w:anchor="_Toc7425923" w:history="1">
            <w:r w:rsidRPr="00B64C17">
              <w:rPr>
                <w:rStyle w:val="Lienhypertexte"/>
                <w:noProof/>
                <w:color w:val="auto"/>
              </w:rPr>
              <w:t>Le sourcing, un outil de connaissance du marche</w:t>
            </w:r>
            <w:r w:rsidR="00031850">
              <w:rPr>
                <w:rStyle w:val="Lienhypertexte"/>
                <w:noProof/>
                <w:color w:val="auto"/>
              </w:rPr>
              <w:t xml:space="preserve"> économique</w:t>
            </w:r>
            <w:r w:rsidRPr="00B64C17">
              <w:rPr>
                <w:noProof/>
                <w:webHidden/>
              </w:rPr>
              <w:tab/>
            </w:r>
            <w:r w:rsidRPr="00B64C17">
              <w:rPr>
                <w:noProof/>
                <w:webHidden/>
              </w:rPr>
              <w:fldChar w:fldCharType="begin"/>
            </w:r>
            <w:r w:rsidRPr="00B64C17">
              <w:rPr>
                <w:noProof/>
                <w:webHidden/>
              </w:rPr>
              <w:instrText xml:space="preserve"> PAGEREF _Toc7425923 \h </w:instrText>
            </w:r>
            <w:r w:rsidRPr="00B64C17">
              <w:rPr>
                <w:noProof/>
                <w:webHidden/>
              </w:rPr>
            </w:r>
            <w:r w:rsidRPr="00B64C17">
              <w:rPr>
                <w:noProof/>
                <w:webHidden/>
              </w:rPr>
              <w:fldChar w:fldCharType="separate"/>
            </w:r>
            <w:r w:rsidR="00DF5AD3">
              <w:rPr>
                <w:noProof/>
                <w:webHidden/>
              </w:rPr>
              <w:t>4</w:t>
            </w:r>
            <w:r w:rsidRPr="00B64C17">
              <w:rPr>
                <w:noProof/>
                <w:webHidden/>
              </w:rPr>
              <w:fldChar w:fldCharType="end"/>
            </w:r>
          </w:hyperlink>
        </w:p>
        <w:p w14:paraId="4439275A" w14:textId="77777777" w:rsidR="005C5664" w:rsidRPr="00B64C17" w:rsidRDefault="005C5664">
          <w:pPr>
            <w:pStyle w:val="TM2"/>
            <w:rPr>
              <w:noProof/>
              <w:sz w:val="22"/>
              <w:szCs w:val="22"/>
              <w:lang w:eastAsia="fr-FR"/>
            </w:rPr>
          </w:pPr>
          <w:hyperlink w:anchor="_Toc7425924" w:history="1">
            <w:r w:rsidRPr="00B64C17">
              <w:rPr>
                <w:rStyle w:val="Lienhypertexte"/>
                <w:noProof/>
                <w:color w:val="auto"/>
              </w:rPr>
              <w:t>La définition des besoins, une etape fondamentale de l’ACHAT</w:t>
            </w:r>
            <w:r w:rsidRPr="00B64C17">
              <w:rPr>
                <w:noProof/>
                <w:webHidden/>
              </w:rPr>
              <w:tab/>
            </w:r>
            <w:r w:rsidRPr="00B64C17">
              <w:rPr>
                <w:noProof/>
                <w:webHidden/>
              </w:rPr>
              <w:fldChar w:fldCharType="begin"/>
            </w:r>
            <w:r w:rsidRPr="00B64C17">
              <w:rPr>
                <w:noProof/>
                <w:webHidden/>
              </w:rPr>
              <w:instrText xml:space="preserve"> PAGEREF _Toc7425924 \h </w:instrText>
            </w:r>
            <w:r w:rsidRPr="00B64C17">
              <w:rPr>
                <w:noProof/>
                <w:webHidden/>
              </w:rPr>
            </w:r>
            <w:r w:rsidRPr="00B64C17">
              <w:rPr>
                <w:noProof/>
                <w:webHidden/>
              </w:rPr>
              <w:fldChar w:fldCharType="separate"/>
            </w:r>
            <w:r w:rsidR="00DF5AD3">
              <w:rPr>
                <w:noProof/>
                <w:webHidden/>
              </w:rPr>
              <w:t>6</w:t>
            </w:r>
            <w:r w:rsidRPr="00B64C17">
              <w:rPr>
                <w:noProof/>
                <w:webHidden/>
              </w:rPr>
              <w:fldChar w:fldCharType="end"/>
            </w:r>
          </w:hyperlink>
        </w:p>
        <w:p w14:paraId="5FA76DAD" w14:textId="77777777" w:rsidR="005C5664" w:rsidRPr="00B64C17" w:rsidRDefault="005C5664">
          <w:pPr>
            <w:pStyle w:val="TM1"/>
            <w:rPr>
              <w:noProof/>
              <w:sz w:val="22"/>
              <w:szCs w:val="22"/>
              <w:lang w:eastAsia="fr-FR"/>
            </w:rPr>
          </w:pPr>
          <w:hyperlink w:anchor="_Toc7425925" w:history="1">
            <w:r w:rsidRPr="00B64C17">
              <w:rPr>
                <w:rStyle w:val="Lienhypertexte"/>
                <w:rFonts w:eastAsia="Times New Roman"/>
                <w:noProof/>
                <w:color w:val="auto"/>
              </w:rPr>
              <w:t>Fiche 2 : Allotir les prestations</w:t>
            </w:r>
            <w:r w:rsidRPr="00B64C17">
              <w:rPr>
                <w:noProof/>
                <w:webHidden/>
              </w:rPr>
              <w:tab/>
            </w:r>
            <w:r w:rsidRPr="00B64C17">
              <w:rPr>
                <w:noProof/>
                <w:webHidden/>
              </w:rPr>
              <w:fldChar w:fldCharType="begin"/>
            </w:r>
            <w:r w:rsidRPr="00B64C17">
              <w:rPr>
                <w:noProof/>
                <w:webHidden/>
              </w:rPr>
              <w:instrText xml:space="preserve"> PAGEREF _Toc7425925 \h </w:instrText>
            </w:r>
            <w:r w:rsidRPr="00B64C17">
              <w:rPr>
                <w:noProof/>
                <w:webHidden/>
              </w:rPr>
            </w:r>
            <w:r w:rsidRPr="00B64C17">
              <w:rPr>
                <w:noProof/>
                <w:webHidden/>
              </w:rPr>
              <w:fldChar w:fldCharType="separate"/>
            </w:r>
            <w:r w:rsidR="00DF5AD3">
              <w:rPr>
                <w:noProof/>
                <w:webHidden/>
              </w:rPr>
              <w:t>9</w:t>
            </w:r>
            <w:r w:rsidRPr="00B64C17">
              <w:rPr>
                <w:noProof/>
                <w:webHidden/>
              </w:rPr>
              <w:fldChar w:fldCharType="end"/>
            </w:r>
          </w:hyperlink>
        </w:p>
        <w:p w14:paraId="352778B7" w14:textId="77777777" w:rsidR="005C5664" w:rsidRPr="00B64C17" w:rsidRDefault="005C5664">
          <w:pPr>
            <w:pStyle w:val="TM1"/>
            <w:rPr>
              <w:noProof/>
              <w:sz w:val="22"/>
              <w:szCs w:val="22"/>
              <w:lang w:eastAsia="fr-FR"/>
            </w:rPr>
          </w:pPr>
          <w:hyperlink w:anchor="_Toc7425926" w:history="1">
            <w:r w:rsidRPr="00B64C17">
              <w:rPr>
                <w:rStyle w:val="Lienhypertexte"/>
                <w:rFonts w:eastAsia="Times New Roman"/>
                <w:noProof/>
                <w:color w:val="auto"/>
              </w:rPr>
              <w:t>Fiche 3 : Fixer des délais de procédure adaptés</w:t>
            </w:r>
            <w:r w:rsidRPr="00B64C17">
              <w:rPr>
                <w:noProof/>
                <w:webHidden/>
              </w:rPr>
              <w:tab/>
            </w:r>
            <w:r w:rsidRPr="00B64C17">
              <w:rPr>
                <w:noProof/>
                <w:webHidden/>
              </w:rPr>
              <w:fldChar w:fldCharType="begin"/>
            </w:r>
            <w:r w:rsidRPr="00B64C17">
              <w:rPr>
                <w:noProof/>
                <w:webHidden/>
              </w:rPr>
              <w:instrText xml:space="preserve"> PAGEREF _Toc7425926 \h </w:instrText>
            </w:r>
            <w:r w:rsidRPr="00B64C17">
              <w:rPr>
                <w:noProof/>
                <w:webHidden/>
              </w:rPr>
            </w:r>
            <w:r w:rsidRPr="00B64C17">
              <w:rPr>
                <w:noProof/>
                <w:webHidden/>
              </w:rPr>
              <w:fldChar w:fldCharType="separate"/>
            </w:r>
            <w:r w:rsidR="00DF5AD3">
              <w:rPr>
                <w:noProof/>
                <w:webHidden/>
              </w:rPr>
              <w:t>11</w:t>
            </w:r>
            <w:r w:rsidRPr="00B64C17">
              <w:rPr>
                <w:noProof/>
                <w:webHidden/>
              </w:rPr>
              <w:fldChar w:fldCharType="end"/>
            </w:r>
          </w:hyperlink>
        </w:p>
        <w:p w14:paraId="464EC96A" w14:textId="77777777" w:rsidR="005C5664" w:rsidRPr="00B64C17" w:rsidRDefault="005C5664">
          <w:pPr>
            <w:pStyle w:val="TM1"/>
            <w:rPr>
              <w:noProof/>
              <w:sz w:val="22"/>
              <w:szCs w:val="22"/>
              <w:lang w:eastAsia="fr-FR"/>
            </w:rPr>
          </w:pPr>
          <w:hyperlink w:anchor="_Toc7425927" w:history="1">
            <w:r w:rsidRPr="00B64C17">
              <w:rPr>
                <w:rStyle w:val="Lienhypertexte"/>
                <w:rFonts w:eastAsia="Times New Roman"/>
                <w:noProof/>
                <w:color w:val="auto"/>
              </w:rPr>
              <w:t>Fiche</w:t>
            </w:r>
            <w:r w:rsidRPr="00B64C17">
              <w:rPr>
                <w:rStyle w:val="Lienhypertexte"/>
                <w:noProof/>
                <w:color w:val="auto"/>
              </w:rPr>
              <w:t xml:space="preserve"> 4 : Choisir les critères de sélection et d’attribution</w:t>
            </w:r>
            <w:r w:rsidRPr="00B64C17">
              <w:rPr>
                <w:noProof/>
                <w:webHidden/>
              </w:rPr>
              <w:tab/>
            </w:r>
            <w:r w:rsidRPr="00B64C17">
              <w:rPr>
                <w:noProof/>
                <w:webHidden/>
              </w:rPr>
              <w:fldChar w:fldCharType="begin"/>
            </w:r>
            <w:r w:rsidRPr="00B64C17">
              <w:rPr>
                <w:noProof/>
                <w:webHidden/>
              </w:rPr>
              <w:instrText xml:space="preserve"> PAGEREF _Toc7425927 \h </w:instrText>
            </w:r>
            <w:r w:rsidRPr="00B64C17">
              <w:rPr>
                <w:noProof/>
                <w:webHidden/>
              </w:rPr>
            </w:r>
            <w:r w:rsidRPr="00B64C17">
              <w:rPr>
                <w:noProof/>
                <w:webHidden/>
              </w:rPr>
              <w:fldChar w:fldCharType="separate"/>
            </w:r>
            <w:r w:rsidR="00DF5AD3">
              <w:rPr>
                <w:noProof/>
                <w:webHidden/>
              </w:rPr>
              <w:t>12</w:t>
            </w:r>
            <w:r w:rsidRPr="00B64C17">
              <w:rPr>
                <w:noProof/>
                <w:webHidden/>
              </w:rPr>
              <w:fldChar w:fldCharType="end"/>
            </w:r>
          </w:hyperlink>
        </w:p>
        <w:p w14:paraId="5791C58B" w14:textId="77777777" w:rsidR="005C5664" w:rsidRPr="00B64C17" w:rsidRDefault="005C5664">
          <w:pPr>
            <w:pStyle w:val="TM2"/>
            <w:rPr>
              <w:noProof/>
              <w:sz w:val="22"/>
              <w:szCs w:val="22"/>
              <w:lang w:eastAsia="fr-FR"/>
            </w:rPr>
          </w:pPr>
          <w:hyperlink w:anchor="_Toc7425928" w:history="1">
            <w:r w:rsidRPr="00B64C17">
              <w:rPr>
                <w:rStyle w:val="Lienhypertexte"/>
                <w:rFonts w:eastAsia="Times New Roman"/>
                <w:noProof/>
                <w:color w:val="auto"/>
              </w:rPr>
              <w:t>L’examen des candidatures</w:t>
            </w:r>
            <w:r w:rsidRPr="00B64C17">
              <w:rPr>
                <w:noProof/>
                <w:webHidden/>
              </w:rPr>
              <w:tab/>
            </w:r>
            <w:r w:rsidRPr="00B64C17">
              <w:rPr>
                <w:noProof/>
                <w:webHidden/>
              </w:rPr>
              <w:fldChar w:fldCharType="begin"/>
            </w:r>
            <w:r w:rsidRPr="00B64C17">
              <w:rPr>
                <w:noProof/>
                <w:webHidden/>
              </w:rPr>
              <w:instrText xml:space="preserve"> PAGEREF _Toc7425928 \h </w:instrText>
            </w:r>
            <w:r w:rsidRPr="00B64C17">
              <w:rPr>
                <w:noProof/>
                <w:webHidden/>
              </w:rPr>
            </w:r>
            <w:r w:rsidRPr="00B64C17">
              <w:rPr>
                <w:noProof/>
                <w:webHidden/>
              </w:rPr>
              <w:fldChar w:fldCharType="separate"/>
            </w:r>
            <w:r w:rsidR="00DF5AD3">
              <w:rPr>
                <w:noProof/>
                <w:webHidden/>
              </w:rPr>
              <w:t>12</w:t>
            </w:r>
            <w:r w:rsidRPr="00B64C17">
              <w:rPr>
                <w:noProof/>
                <w:webHidden/>
              </w:rPr>
              <w:fldChar w:fldCharType="end"/>
            </w:r>
          </w:hyperlink>
        </w:p>
        <w:p w14:paraId="0E543DC4" w14:textId="77777777" w:rsidR="005C5664" w:rsidRPr="00B64C17" w:rsidRDefault="005C5664">
          <w:pPr>
            <w:pStyle w:val="TM2"/>
            <w:rPr>
              <w:noProof/>
              <w:sz w:val="22"/>
              <w:szCs w:val="22"/>
              <w:lang w:eastAsia="fr-FR"/>
            </w:rPr>
          </w:pPr>
          <w:hyperlink w:anchor="_Toc7425929" w:history="1">
            <w:r w:rsidRPr="00B64C17">
              <w:rPr>
                <w:rStyle w:val="Lienhypertexte"/>
                <w:rFonts w:eastAsia="Times New Roman"/>
                <w:noProof/>
                <w:color w:val="auto"/>
              </w:rPr>
              <w:t>L’examen des offres</w:t>
            </w:r>
            <w:r w:rsidRPr="00B64C17">
              <w:rPr>
                <w:noProof/>
                <w:webHidden/>
              </w:rPr>
              <w:tab/>
            </w:r>
            <w:r w:rsidRPr="00B64C17">
              <w:rPr>
                <w:noProof/>
                <w:webHidden/>
              </w:rPr>
              <w:fldChar w:fldCharType="begin"/>
            </w:r>
            <w:r w:rsidRPr="00B64C17">
              <w:rPr>
                <w:noProof/>
                <w:webHidden/>
              </w:rPr>
              <w:instrText xml:space="preserve"> PAGEREF _Toc7425929 \h </w:instrText>
            </w:r>
            <w:r w:rsidRPr="00B64C17">
              <w:rPr>
                <w:noProof/>
                <w:webHidden/>
              </w:rPr>
            </w:r>
            <w:r w:rsidRPr="00B64C17">
              <w:rPr>
                <w:noProof/>
                <w:webHidden/>
              </w:rPr>
              <w:fldChar w:fldCharType="separate"/>
            </w:r>
            <w:r w:rsidR="00DF5AD3">
              <w:rPr>
                <w:noProof/>
                <w:webHidden/>
              </w:rPr>
              <w:t>14</w:t>
            </w:r>
            <w:r w:rsidRPr="00B64C17">
              <w:rPr>
                <w:noProof/>
                <w:webHidden/>
              </w:rPr>
              <w:fldChar w:fldCharType="end"/>
            </w:r>
          </w:hyperlink>
        </w:p>
        <w:p w14:paraId="50D23AA1" w14:textId="77777777" w:rsidR="005C5664" w:rsidRPr="00B64C17" w:rsidRDefault="005C5664">
          <w:pPr>
            <w:pStyle w:val="TM3"/>
            <w:rPr>
              <w:noProof/>
              <w:sz w:val="22"/>
              <w:szCs w:val="22"/>
              <w:lang w:eastAsia="fr-FR"/>
            </w:rPr>
          </w:pPr>
          <w:hyperlink w:anchor="_Toc7425930" w:history="1">
            <w:r w:rsidRPr="00B64C17">
              <w:rPr>
                <w:rStyle w:val="Lienhypertexte"/>
                <w:rFonts w:eastAsia="Times New Roman"/>
                <w:noProof/>
                <w:color w:val="auto"/>
              </w:rPr>
              <w:t>Détermination des critères et de leur ponderation</w:t>
            </w:r>
            <w:r w:rsidRPr="00B64C17">
              <w:rPr>
                <w:noProof/>
                <w:webHidden/>
              </w:rPr>
              <w:tab/>
            </w:r>
            <w:r w:rsidRPr="00B64C17">
              <w:rPr>
                <w:noProof/>
                <w:webHidden/>
              </w:rPr>
              <w:fldChar w:fldCharType="begin"/>
            </w:r>
            <w:r w:rsidRPr="00B64C17">
              <w:rPr>
                <w:noProof/>
                <w:webHidden/>
              </w:rPr>
              <w:instrText xml:space="preserve"> PAGEREF _Toc7425930 \h </w:instrText>
            </w:r>
            <w:r w:rsidRPr="00B64C17">
              <w:rPr>
                <w:noProof/>
                <w:webHidden/>
              </w:rPr>
            </w:r>
            <w:r w:rsidRPr="00B64C17">
              <w:rPr>
                <w:noProof/>
                <w:webHidden/>
              </w:rPr>
              <w:fldChar w:fldCharType="separate"/>
            </w:r>
            <w:r w:rsidR="00DF5AD3">
              <w:rPr>
                <w:noProof/>
                <w:webHidden/>
              </w:rPr>
              <w:t>14</w:t>
            </w:r>
            <w:r w:rsidRPr="00B64C17">
              <w:rPr>
                <w:noProof/>
                <w:webHidden/>
              </w:rPr>
              <w:fldChar w:fldCharType="end"/>
            </w:r>
          </w:hyperlink>
        </w:p>
        <w:p w14:paraId="2C2015B2" w14:textId="77777777" w:rsidR="005C5664" w:rsidRPr="00B64C17" w:rsidRDefault="005C5664">
          <w:pPr>
            <w:pStyle w:val="TM3"/>
            <w:rPr>
              <w:noProof/>
              <w:sz w:val="22"/>
              <w:szCs w:val="22"/>
              <w:lang w:eastAsia="fr-FR"/>
            </w:rPr>
          </w:pPr>
          <w:hyperlink w:anchor="_Toc7425931" w:history="1">
            <w:r w:rsidRPr="00B64C17">
              <w:rPr>
                <w:rStyle w:val="Lienhypertexte"/>
                <w:noProof/>
                <w:color w:val="auto"/>
              </w:rPr>
              <w:t>Phase d’analyse des offres et régularisation</w:t>
            </w:r>
            <w:r w:rsidRPr="00B64C17">
              <w:rPr>
                <w:noProof/>
                <w:webHidden/>
              </w:rPr>
              <w:tab/>
            </w:r>
            <w:r w:rsidRPr="00B64C17">
              <w:rPr>
                <w:noProof/>
                <w:webHidden/>
              </w:rPr>
              <w:fldChar w:fldCharType="begin"/>
            </w:r>
            <w:r w:rsidRPr="00B64C17">
              <w:rPr>
                <w:noProof/>
                <w:webHidden/>
              </w:rPr>
              <w:instrText xml:space="preserve"> PAGEREF _Toc7425931 \h </w:instrText>
            </w:r>
            <w:r w:rsidRPr="00B64C17">
              <w:rPr>
                <w:noProof/>
                <w:webHidden/>
              </w:rPr>
            </w:r>
            <w:r w:rsidRPr="00B64C17">
              <w:rPr>
                <w:noProof/>
                <w:webHidden/>
              </w:rPr>
              <w:fldChar w:fldCharType="separate"/>
            </w:r>
            <w:r w:rsidR="00DF5AD3">
              <w:rPr>
                <w:noProof/>
                <w:webHidden/>
              </w:rPr>
              <w:t>16</w:t>
            </w:r>
            <w:r w:rsidRPr="00B64C17">
              <w:rPr>
                <w:noProof/>
                <w:webHidden/>
              </w:rPr>
              <w:fldChar w:fldCharType="end"/>
            </w:r>
          </w:hyperlink>
        </w:p>
        <w:p w14:paraId="65ED1405" w14:textId="77777777" w:rsidR="005C5664" w:rsidRPr="00B64C17" w:rsidRDefault="005C5664">
          <w:pPr>
            <w:pStyle w:val="TM1"/>
            <w:rPr>
              <w:noProof/>
              <w:sz w:val="22"/>
              <w:szCs w:val="22"/>
              <w:lang w:eastAsia="fr-FR"/>
            </w:rPr>
          </w:pPr>
          <w:hyperlink w:anchor="_Toc7425932" w:history="1">
            <w:r w:rsidRPr="00B64C17">
              <w:rPr>
                <w:rStyle w:val="Lienhypertexte"/>
                <w:noProof/>
                <w:color w:val="auto"/>
              </w:rPr>
              <w:t>Fiche 5 : Promouvoir les variantes</w:t>
            </w:r>
            <w:r w:rsidRPr="00B64C17">
              <w:rPr>
                <w:noProof/>
                <w:webHidden/>
              </w:rPr>
              <w:tab/>
            </w:r>
            <w:r w:rsidRPr="00B64C17">
              <w:rPr>
                <w:noProof/>
                <w:webHidden/>
              </w:rPr>
              <w:fldChar w:fldCharType="begin"/>
            </w:r>
            <w:r w:rsidRPr="00B64C17">
              <w:rPr>
                <w:noProof/>
                <w:webHidden/>
              </w:rPr>
              <w:instrText xml:space="preserve"> PAGEREF _Toc7425932 \h </w:instrText>
            </w:r>
            <w:r w:rsidRPr="00B64C17">
              <w:rPr>
                <w:noProof/>
                <w:webHidden/>
              </w:rPr>
            </w:r>
            <w:r w:rsidRPr="00B64C17">
              <w:rPr>
                <w:noProof/>
                <w:webHidden/>
              </w:rPr>
              <w:fldChar w:fldCharType="separate"/>
            </w:r>
            <w:r w:rsidR="00DF5AD3">
              <w:rPr>
                <w:noProof/>
                <w:webHidden/>
              </w:rPr>
              <w:t>17</w:t>
            </w:r>
            <w:r w:rsidRPr="00B64C17">
              <w:rPr>
                <w:noProof/>
                <w:webHidden/>
              </w:rPr>
              <w:fldChar w:fldCharType="end"/>
            </w:r>
          </w:hyperlink>
        </w:p>
        <w:p w14:paraId="5325F329" w14:textId="77777777" w:rsidR="005C5664" w:rsidRPr="00B64C17" w:rsidRDefault="005C5664">
          <w:pPr>
            <w:pStyle w:val="TM1"/>
            <w:rPr>
              <w:noProof/>
              <w:sz w:val="22"/>
              <w:szCs w:val="22"/>
              <w:lang w:eastAsia="fr-FR"/>
            </w:rPr>
          </w:pPr>
          <w:hyperlink w:anchor="_Toc7425933" w:history="1">
            <w:r w:rsidRPr="00B64C17">
              <w:rPr>
                <w:rStyle w:val="Lienhypertexte"/>
                <w:noProof/>
                <w:color w:val="auto"/>
              </w:rPr>
              <w:t>Fiche 6 : Encourager les groupements momentanés d’entreprises (GME)</w:t>
            </w:r>
            <w:r w:rsidRPr="00B64C17">
              <w:rPr>
                <w:noProof/>
                <w:webHidden/>
              </w:rPr>
              <w:tab/>
            </w:r>
            <w:r w:rsidRPr="00B64C17">
              <w:rPr>
                <w:noProof/>
                <w:webHidden/>
              </w:rPr>
              <w:fldChar w:fldCharType="begin"/>
            </w:r>
            <w:r w:rsidRPr="00B64C17">
              <w:rPr>
                <w:noProof/>
                <w:webHidden/>
              </w:rPr>
              <w:instrText xml:space="preserve"> PAGEREF _Toc7425933 \h </w:instrText>
            </w:r>
            <w:r w:rsidRPr="00B64C17">
              <w:rPr>
                <w:noProof/>
                <w:webHidden/>
              </w:rPr>
            </w:r>
            <w:r w:rsidRPr="00B64C17">
              <w:rPr>
                <w:noProof/>
                <w:webHidden/>
              </w:rPr>
              <w:fldChar w:fldCharType="separate"/>
            </w:r>
            <w:r w:rsidR="00DF5AD3">
              <w:rPr>
                <w:noProof/>
                <w:webHidden/>
              </w:rPr>
              <w:t>19</w:t>
            </w:r>
            <w:r w:rsidRPr="00B64C17">
              <w:rPr>
                <w:noProof/>
                <w:webHidden/>
              </w:rPr>
              <w:fldChar w:fldCharType="end"/>
            </w:r>
          </w:hyperlink>
        </w:p>
        <w:p w14:paraId="7C88F09D" w14:textId="77777777" w:rsidR="005C5664" w:rsidRPr="00B64C17" w:rsidRDefault="005C5664" w:rsidP="005C5664">
          <w:pPr>
            <w:pStyle w:val="TM1"/>
            <w:rPr>
              <w:rStyle w:val="Lienhypertexte"/>
              <w:noProof/>
              <w:color w:val="auto"/>
              <w:sz w:val="16"/>
            </w:rPr>
          </w:pPr>
        </w:p>
        <w:p w14:paraId="2C83C181" w14:textId="5AAB3EB2" w:rsidR="005C5664" w:rsidRPr="00B64C17" w:rsidRDefault="00B64C17" w:rsidP="005C5664">
          <w:pPr>
            <w:spacing w:before="0" w:after="0"/>
            <w:rPr>
              <w:b/>
              <w:noProof/>
            </w:rPr>
          </w:pPr>
          <w:r w:rsidRPr="00B64C17">
            <w:rPr>
              <w:b/>
              <w:noProof/>
            </w:rPr>
            <w:t xml:space="preserve">Partie 2 : Phase de passation du marché </w:t>
          </w:r>
        </w:p>
        <w:p w14:paraId="71EE4295" w14:textId="77777777" w:rsidR="005C5664" w:rsidRPr="00B64C17" w:rsidRDefault="005C5664">
          <w:pPr>
            <w:pStyle w:val="TM1"/>
            <w:rPr>
              <w:noProof/>
              <w:sz w:val="22"/>
              <w:szCs w:val="22"/>
              <w:lang w:eastAsia="fr-FR"/>
            </w:rPr>
          </w:pPr>
          <w:hyperlink w:anchor="_Toc7425934" w:history="1">
            <w:r w:rsidRPr="00B64C17">
              <w:rPr>
                <w:rStyle w:val="Lienhypertexte"/>
                <w:noProof/>
                <w:color w:val="auto"/>
              </w:rPr>
              <w:t>Fiche 7 : Préparer la phase de négociation</w:t>
            </w:r>
            <w:r w:rsidRPr="00B64C17">
              <w:rPr>
                <w:noProof/>
                <w:webHidden/>
              </w:rPr>
              <w:tab/>
            </w:r>
            <w:r w:rsidRPr="00B64C17">
              <w:rPr>
                <w:noProof/>
                <w:webHidden/>
              </w:rPr>
              <w:fldChar w:fldCharType="begin"/>
            </w:r>
            <w:r w:rsidRPr="00B64C17">
              <w:rPr>
                <w:noProof/>
                <w:webHidden/>
              </w:rPr>
              <w:instrText xml:space="preserve"> PAGEREF _Toc7425934 \h </w:instrText>
            </w:r>
            <w:r w:rsidRPr="00B64C17">
              <w:rPr>
                <w:noProof/>
                <w:webHidden/>
              </w:rPr>
            </w:r>
            <w:r w:rsidRPr="00B64C17">
              <w:rPr>
                <w:noProof/>
                <w:webHidden/>
              </w:rPr>
              <w:fldChar w:fldCharType="separate"/>
            </w:r>
            <w:r w:rsidR="00DF5AD3">
              <w:rPr>
                <w:noProof/>
                <w:webHidden/>
              </w:rPr>
              <w:t>21</w:t>
            </w:r>
            <w:r w:rsidRPr="00B64C17">
              <w:rPr>
                <w:noProof/>
                <w:webHidden/>
              </w:rPr>
              <w:fldChar w:fldCharType="end"/>
            </w:r>
          </w:hyperlink>
        </w:p>
        <w:p w14:paraId="5C7D5466" w14:textId="77777777" w:rsidR="005C5664" w:rsidRPr="00B64C17" w:rsidRDefault="005C5664">
          <w:pPr>
            <w:pStyle w:val="TM1"/>
            <w:rPr>
              <w:noProof/>
              <w:sz w:val="22"/>
              <w:szCs w:val="22"/>
              <w:lang w:eastAsia="fr-FR"/>
            </w:rPr>
          </w:pPr>
          <w:hyperlink w:anchor="_Toc7425935" w:history="1">
            <w:r w:rsidRPr="00B64C17">
              <w:rPr>
                <w:rStyle w:val="Lienhypertexte"/>
                <w:noProof/>
                <w:color w:val="auto"/>
              </w:rPr>
              <w:t>Fiche 8 : Garantir la confidentialité des offres</w:t>
            </w:r>
            <w:r w:rsidRPr="00B64C17">
              <w:rPr>
                <w:noProof/>
                <w:webHidden/>
              </w:rPr>
              <w:tab/>
            </w:r>
            <w:r w:rsidRPr="00B64C17">
              <w:rPr>
                <w:noProof/>
                <w:webHidden/>
              </w:rPr>
              <w:fldChar w:fldCharType="begin"/>
            </w:r>
            <w:r w:rsidRPr="00B64C17">
              <w:rPr>
                <w:noProof/>
                <w:webHidden/>
              </w:rPr>
              <w:instrText xml:space="preserve"> PAGEREF _Toc7425935 \h </w:instrText>
            </w:r>
            <w:r w:rsidRPr="00B64C17">
              <w:rPr>
                <w:noProof/>
                <w:webHidden/>
              </w:rPr>
            </w:r>
            <w:r w:rsidRPr="00B64C17">
              <w:rPr>
                <w:noProof/>
                <w:webHidden/>
              </w:rPr>
              <w:fldChar w:fldCharType="separate"/>
            </w:r>
            <w:r w:rsidR="00DF5AD3">
              <w:rPr>
                <w:noProof/>
                <w:webHidden/>
              </w:rPr>
              <w:t>23</w:t>
            </w:r>
            <w:r w:rsidRPr="00B64C17">
              <w:rPr>
                <w:noProof/>
                <w:webHidden/>
              </w:rPr>
              <w:fldChar w:fldCharType="end"/>
            </w:r>
          </w:hyperlink>
        </w:p>
        <w:p w14:paraId="4F1BBA13" w14:textId="77777777" w:rsidR="005C5664" w:rsidRPr="00B64C17" w:rsidRDefault="005C5664">
          <w:pPr>
            <w:pStyle w:val="TM1"/>
            <w:rPr>
              <w:noProof/>
              <w:sz w:val="22"/>
              <w:szCs w:val="22"/>
              <w:lang w:eastAsia="fr-FR"/>
            </w:rPr>
          </w:pPr>
          <w:hyperlink w:anchor="_Toc7425936" w:history="1">
            <w:r w:rsidRPr="00B64C17">
              <w:rPr>
                <w:rStyle w:val="Lienhypertexte"/>
                <w:noProof/>
                <w:color w:val="auto"/>
              </w:rPr>
              <w:t>Fiche 9 : Détecter les offres anormalement basses (OAB)</w:t>
            </w:r>
            <w:r w:rsidRPr="00B64C17">
              <w:rPr>
                <w:noProof/>
                <w:webHidden/>
              </w:rPr>
              <w:tab/>
            </w:r>
            <w:r w:rsidRPr="00B64C17">
              <w:rPr>
                <w:noProof/>
                <w:webHidden/>
              </w:rPr>
              <w:fldChar w:fldCharType="begin"/>
            </w:r>
            <w:r w:rsidRPr="00B64C17">
              <w:rPr>
                <w:noProof/>
                <w:webHidden/>
              </w:rPr>
              <w:instrText xml:space="preserve"> PAGEREF _Toc7425936 \h </w:instrText>
            </w:r>
            <w:r w:rsidRPr="00B64C17">
              <w:rPr>
                <w:noProof/>
                <w:webHidden/>
              </w:rPr>
            </w:r>
            <w:r w:rsidRPr="00B64C17">
              <w:rPr>
                <w:noProof/>
                <w:webHidden/>
              </w:rPr>
              <w:fldChar w:fldCharType="separate"/>
            </w:r>
            <w:r w:rsidR="00DF5AD3">
              <w:rPr>
                <w:noProof/>
                <w:webHidden/>
              </w:rPr>
              <w:t>24</w:t>
            </w:r>
            <w:r w:rsidRPr="00B64C17">
              <w:rPr>
                <w:noProof/>
                <w:webHidden/>
              </w:rPr>
              <w:fldChar w:fldCharType="end"/>
            </w:r>
          </w:hyperlink>
        </w:p>
        <w:p w14:paraId="75BE4FC1" w14:textId="77777777" w:rsidR="005C5664" w:rsidRPr="00B64C17" w:rsidRDefault="005C5664">
          <w:pPr>
            <w:pStyle w:val="TM1"/>
            <w:rPr>
              <w:noProof/>
              <w:sz w:val="22"/>
              <w:szCs w:val="22"/>
              <w:lang w:eastAsia="fr-FR"/>
            </w:rPr>
          </w:pPr>
          <w:hyperlink w:anchor="_Toc7425937" w:history="1">
            <w:r w:rsidRPr="00B64C17">
              <w:rPr>
                <w:rStyle w:val="Lienhypertexte"/>
                <w:noProof/>
                <w:color w:val="auto"/>
              </w:rPr>
              <w:t>Fiche 10 : Indemniser les prestations à l’appui des offres</w:t>
            </w:r>
            <w:r w:rsidRPr="00B64C17">
              <w:rPr>
                <w:noProof/>
                <w:webHidden/>
              </w:rPr>
              <w:tab/>
            </w:r>
            <w:r w:rsidRPr="00B64C17">
              <w:rPr>
                <w:noProof/>
                <w:webHidden/>
              </w:rPr>
              <w:fldChar w:fldCharType="begin"/>
            </w:r>
            <w:r w:rsidRPr="00B64C17">
              <w:rPr>
                <w:noProof/>
                <w:webHidden/>
              </w:rPr>
              <w:instrText xml:space="preserve"> PAGEREF _Toc7425937 \h </w:instrText>
            </w:r>
            <w:r w:rsidRPr="00B64C17">
              <w:rPr>
                <w:noProof/>
                <w:webHidden/>
              </w:rPr>
            </w:r>
            <w:r w:rsidRPr="00B64C17">
              <w:rPr>
                <w:noProof/>
                <w:webHidden/>
              </w:rPr>
              <w:fldChar w:fldCharType="separate"/>
            </w:r>
            <w:r w:rsidR="00DF5AD3">
              <w:rPr>
                <w:noProof/>
                <w:webHidden/>
              </w:rPr>
              <w:t>26</w:t>
            </w:r>
            <w:r w:rsidRPr="00B64C17">
              <w:rPr>
                <w:noProof/>
                <w:webHidden/>
              </w:rPr>
              <w:fldChar w:fldCharType="end"/>
            </w:r>
          </w:hyperlink>
        </w:p>
        <w:p w14:paraId="769109CD" w14:textId="77777777" w:rsidR="00B64C17" w:rsidRPr="00B64C17" w:rsidRDefault="00B64C17" w:rsidP="00B64C17">
          <w:pPr>
            <w:pStyle w:val="TM1"/>
            <w:rPr>
              <w:rStyle w:val="Lienhypertexte"/>
              <w:noProof/>
              <w:color w:val="auto"/>
              <w:sz w:val="16"/>
            </w:rPr>
          </w:pPr>
        </w:p>
        <w:p w14:paraId="35320731" w14:textId="62C2A923" w:rsidR="00B64C17" w:rsidRPr="00B64C17" w:rsidRDefault="00B64C17" w:rsidP="00B64C17">
          <w:pPr>
            <w:spacing w:before="0" w:after="0"/>
            <w:rPr>
              <w:b/>
              <w:noProof/>
            </w:rPr>
          </w:pPr>
          <w:r w:rsidRPr="00B64C17">
            <w:rPr>
              <w:b/>
              <w:noProof/>
            </w:rPr>
            <w:t>Partie 3 : Suivi d'exécution du marché</w:t>
          </w:r>
        </w:p>
        <w:p w14:paraId="21068BB0" w14:textId="77777777" w:rsidR="005C5664" w:rsidRPr="00B64C17" w:rsidRDefault="005C5664">
          <w:pPr>
            <w:pStyle w:val="TM1"/>
            <w:rPr>
              <w:noProof/>
              <w:sz w:val="22"/>
              <w:szCs w:val="22"/>
              <w:lang w:eastAsia="fr-FR"/>
            </w:rPr>
          </w:pPr>
          <w:hyperlink w:anchor="_Toc7425938" w:history="1">
            <w:r w:rsidRPr="00B64C17">
              <w:rPr>
                <w:rStyle w:val="Lienhypertexte"/>
                <w:noProof/>
                <w:color w:val="auto"/>
              </w:rPr>
              <w:t>Fiche 11 : Verser des avances proportionnées</w:t>
            </w:r>
            <w:r w:rsidRPr="00B64C17">
              <w:rPr>
                <w:noProof/>
                <w:webHidden/>
              </w:rPr>
              <w:tab/>
            </w:r>
            <w:r w:rsidRPr="00B64C17">
              <w:rPr>
                <w:noProof/>
                <w:webHidden/>
              </w:rPr>
              <w:fldChar w:fldCharType="begin"/>
            </w:r>
            <w:r w:rsidRPr="00B64C17">
              <w:rPr>
                <w:noProof/>
                <w:webHidden/>
              </w:rPr>
              <w:instrText xml:space="preserve"> PAGEREF _Toc7425938 \h </w:instrText>
            </w:r>
            <w:r w:rsidRPr="00B64C17">
              <w:rPr>
                <w:noProof/>
                <w:webHidden/>
              </w:rPr>
            </w:r>
            <w:r w:rsidRPr="00B64C17">
              <w:rPr>
                <w:noProof/>
                <w:webHidden/>
              </w:rPr>
              <w:fldChar w:fldCharType="separate"/>
            </w:r>
            <w:r w:rsidR="00DF5AD3">
              <w:rPr>
                <w:noProof/>
                <w:webHidden/>
              </w:rPr>
              <w:t>27</w:t>
            </w:r>
            <w:r w:rsidRPr="00B64C17">
              <w:rPr>
                <w:noProof/>
                <w:webHidden/>
              </w:rPr>
              <w:fldChar w:fldCharType="end"/>
            </w:r>
          </w:hyperlink>
        </w:p>
        <w:p w14:paraId="13299A0F" w14:textId="77777777" w:rsidR="005C5664" w:rsidRPr="00B64C17" w:rsidRDefault="005C5664">
          <w:pPr>
            <w:pStyle w:val="TM3"/>
            <w:rPr>
              <w:noProof/>
              <w:sz w:val="22"/>
              <w:szCs w:val="22"/>
              <w:lang w:eastAsia="fr-FR"/>
            </w:rPr>
          </w:pPr>
          <w:hyperlink w:anchor="_Toc7425939" w:history="1">
            <w:r w:rsidRPr="00B64C17">
              <w:rPr>
                <w:rStyle w:val="Lienhypertexte"/>
                <w:rFonts w:eastAsia="Times New Roman"/>
                <w:noProof/>
                <w:color w:val="auto"/>
                <w:lang w:eastAsia="fr-FR"/>
              </w:rPr>
              <w:t>Le principe général de l’avance</w:t>
            </w:r>
            <w:r w:rsidRPr="00B64C17">
              <w:rPr>
                <w:noProof/>
                <w:webHidden/>
              </w:rPr>
              <w:tab/>
            </w:r>
            <w:r w:rsidRPr="00B64C17">
              <w:rPr>
                <w:noProof/>
                <w:webHidden/>
              </w:rPr>
              <w:fldChar w:fldCharType="begin"/>
            </w:r>
            <w:r w:rsidRPr="00B64C17">
              <w:rPr>
                <w:noProof/>
                <w:webHidden/>
              </w:rPr>
              <w:instrText xml:space="preserve"> PAGEREF _Toc7425939 \h </w:instrText>
            </w:r>
            <w:r w:rsidRPr="00B64C17">
              <w:rPr>
                <w:noProof/>
                <w:webHidden/>
              </w:rPr>
            </w:r>
            <w:r w:rsidRPr="00B64C17">
              <w:rPr>
                <w:noProof/>
                <w:webHidden/>
              </w:rPr>
              <w:fldChar w:fldCharType="separate"/>
            </w:r>
            <w:r w:rsidR="00DF5AD3">
              <w:rPr>
                <w:noProof/>
                <w:webHidden/>
              </w:rPr>
              <w:t>27</w:t>
            </w:r>
            <w:r w:rsidRPr="00B64C17">
              <w:rPr>
                <w:noProof/>
                <w:webHidden/>
              </w:rPr>
              <w:fldChar w:fldCharType="end"/>
            </w:r>
          </w:hyperlink>
        </w:p>
        <w:p w14:paraId="3E07F0FD" w14:textId="77777777" w:rsidR="005C5664" w:rsidRPr="00B64C17" w:rsidRDefault="005C5664">
          <w:pPr>
            <w:pStyle w:val="TM3"/>
            <w:rPr>
              <w:noProof/>
              <w:sz w:val="22"/>
              <w:szCs w:val="22"/>
              <w:lang w:eastAsia="fr-FR"/>
            </w:rPr>
          </w:pPr>
          <w:hyperlink w:anchor="_Toc7425940" w:history="1">
            <w:r w:rsidRPr="00B64C17">
              <w:rPr>
                <w:rStyle w:val="Lienhypertexte"/>
                <w:noProof/>
                <w:color w:val="auto"/>
                <w:lang w:eastAsia="fr-FR"/>
              </w:rPr>
              <w:t>Corrélation entre avance et garanties</w:t>
            </w:r>
            <w:r w:rsidRPr="00B64C17">
              <w:rPr>
                <w:noProof/>
                <w:webHidden/>
              </w:rPr>
              <w:tab/>
            </w:r>
            <w:r w:rsidRPr="00B64C17">
              <w:rPr>
                <w:noProof/>
                <w:webHidden/>
              </w:rPr>
              <w:fldChar w:fldCharType="begin"/>
            </w:r>
            <w:r w:rsidRPr="00B64C17">
              <w:rPr>
                <w:noProof/>
                <w:webHidden/>
              </w:rPr>
              <w:instrText xml:space="preserve"> PAGEREF _Toc7425940 \h </w:instrText>
            </w:r>
            <w:r w:rsidRPr="00B64C17">
              <w:rPr>
                <w:noProof/>
                <w:webHidden/>
              </w:rPr>
            </w:r>
            <w:r w:rsidRPr="00B64C17">
              <w:rPr>
                <w:noProof/>
                <w:webHidden/>
              </w:rPr>
              <w:fldChar w:fldCharType="separate"/>
            </w:r>
            <w:r w:rsidR="00DF5AD3">
              <w:rPr>
                <w:noProof/>
                <w:webHidden/>
              </w:rPr>
              <w:t>28</w:t>
            </w:r>
            <w:r w:rsidRPr="00B64C17">
              <w:rPr>
                <w:noProof/>
                <w:webHidden/>
              </w:rPr>
              <w:fldChar w:fldCharType="end"/>
            </w:r>
          </w:hyperlink>
        </w:p>
        <w:p w14:paraId="51B4F4F3" w14:textId="77777777" w:rsidR="005C5664" w:rsidRPr="00B64C17" w:rsidRDefault="005C5664">
          <w:pPr>
            <w:pStyle w:val="TM1"/>
            <w:rPr>
              <w:noProof/>
              <w:sz w:val="22"/>
              <w:szCs w:val="22"/>
              <w:lang w:eastAsia="fr-FR"/>
            </w:rPr>
          </w:pPr>
          <w:hyperlink w:anchor="_Toc7425941" w:history="1">
            <w:r w:rsidRPr="00B64C17">
              <w:rPr>
                <w:rStyle w:val="Lienhypertexte"/>
                <w:noProof/>
                <w:color w:val="auto"/>
              </w:rPr>
              <w:t>Fiche 12 : Savoir déterminer et contrôler le niveau d’assurance</w:t>
            </w:r>
            <w:r w:rsidRPr="00B64C17">
              <w:rPr>
                <w:noProof/>
                <w:webHidden/>
              </w:rPr>
              <w:tab/>
            </w:r>
            <w:r w:rsidRPr="00B64C17">
              <w:rPr>
                <w:noProof/>
                <w:webHidden/>
              </w:rPr>
              <w:fldChar w:fldCharType="begin"/>
            </w:r>
            <w:r w:rsidRPr="00B64C17">
              <w:rPr>
                <w:noProof/>
                <w:webHidden/>
              </w:rPr>
              <w:instrText xml:space="preserve"> PAGEREF _Toc7425941 \h </w:instrText>
            </w:r>
            <w:r w:rsidRPr="00B64C17">
              <w:rPr>
                <w:noProof/>
                <w:webHidden/>
              </w:rPr>
            </w:r>
            <w:r w:rsidRPr="00B64C17">
              <w:rPr>
                <w:noProof/>
                <w:webHidden/>
              </w:rPr>
              <w:fldChar w:fldCharType="separate"/>
            </w:r>
            <w:r w:rsidR="00DF5AD3">
              <w:rPr>
                <w:noProof/>
                <w:webHidden/>
              </w:rPr>
              <w:t>29</w:t>
            </w:r>
            <w:r w:rsidRPr="00B64C17">
              <w:rPr>
                <w:noProof/>
                <w:webHidden/>
              </w:rPr>
              <w:fldChar w:fldCharType="end"/>
            </w:r>
          </w:hyperlink>
        </w:p>
        <w:p w14:paraId="2625DC5B" w14:textId="77777777" w:rsidR="005C5664" w:rsidRPr="00B64C17" w:rsidRDefault="005C5664">
          <w:pPr>
            <w:pStyle w:val="TM1"/>
            <w:rPr>
              <w:noProof/>
              <w:sz w:val="22"/>
              <w:szCs w:val="22"/>
              <w:lang w:eastAsia="fr-FR"/>
            </w:rPr>
          </w:pPr>
          <w:hyperlink w:anchor="_Toc7425942" w:history="1">
            <w:r w:rsidRPr="00B64C17">
              <w:rPr>
                <w:rStyle w:val="Lienhypertexte"/>
                <w:noProof/>
                <w:color w:val="auto"/>
              </w:rPr>
              <w:t>Fiche 13 : Respecter les délais de paiement</w:t>
            </w:r>
            <w:r w:rsidRPr="00B64C17">
              <w:rPr>
                <w:noProof/>
                <w:webHidden/>
              </w:rPr>
              <w:tab/>
            </w:r>
            <w:r w:rsidRPr="00B64C17">
              <w:rPr>
                <w:noProof/>
                <w:webHidden/>
              </w:rPr>
              <w:fldChar w:fldCharType="begin"/>
            </w:r>
            <w:r w:rsidRPr="00B64C17">
              <w:rPr>
                <w:noProof/>
                <w:webHidden/>
              </w:rPr>
              <w:instrText xml:space="preserve"> PAGEREF _Toc7425942 \h </w:instrText>
            </w:r>
            <w:r w:rsidRPr="00B64C17">
              <w:rPr>
                <w:noProof/>
                <w:webHidden/>
              </w:rPr>
            </w:r>
            <w:r w:rsidRPr="00B64C17">
              <w:rPr>
                <w:noProof/>
                <w:webHidden/>
              </w:rPr>
              <w:fldChar w:fldCharType="separate"/>
            </w:r>
            <w:r w:rsidR="00DF5AD3">
              <w:rPr>
                <w:noProof/>
                <w:webHidden/>
              </w:rPr>
              <w:t>31</w:t>
            </w:r>
            <w:r w:rsidRPr="00B64C17">
              <w:rPr>
                <w:noProof/>
                <w:webHidden/>
              </w:rPr>
              <w:fldChar w:fldCharType="end"/>
            </w:r>
          </w:hyperlink>
        </w:p>
        <w:p w14:paraId="15834CE1" w14:textId="77777777" w:rsidR="005C5664" w:rsidRPr="00B64C17" w:rsidRDefault="005C5664">
          <w:pPr>
            <w:pStyle w:val="TM3"/>
            <w:rPr>
              <w:noProof/>
              <w:sz w:val="22"/>
              <w:szCs w:val="22"/>
              <w:lang w:eastAsia="fr-FR"/>
            </w:rPr>
          </w:pPr>
          <w:hyperlink w:anchor="_Toc7425943" w:history="1">
            <w:r w:rsidRPr="00B64C17">
              <w:rPr>
                <w:rStyle w:val="Lienhypertexte"/>
                <w:noProof/>
                <w:color w:val="auto"/>
              </w:rPr>
              <w:t>Délais et règles applicables au secteur public</w:t>
            </w:r>
            <w:r w:rsidRPr="00B64C17">
              <w:rPr>
                <w:noProof/>
                <w:webHidden/>
              </w:rPr>
              <w:tab/>
            </w:r>
            <w:r w:rsidRPr="00B64C17">
              <w:rPr>
                <w:noProof/>
                <w:webHidden/>
              </w:rPr>
              <w:fldChar w:fldCharType="begin"/>
            </w:r>
            <w:r w:rsidRPr="00B64C17">
              <w:rPr>
                <w:noProof/>
                <w:webHidden/>
              </w:rPr>
              <w:instrText xml:space="preserve"> PAGEREF _Toc7425943 \h </w:instrText>
            </w:r>
            <w:r w:rsidRPr="00B64C17">
              <w:rPr>
                <w:noProof/>
                <w:webHidden/>
              </w:rPr>
            </w:r>
            <w:r w:rsidRPr="00B64C17">
              <w:rPr>
                <w:noProof/>
                <w:webHidden/>
              </w:rPr>
              <w:fldChar w:fldCharType="separate"/>
            </w:r>
            <w:r w:rsidR="00DF5AD3">
              <w:rPr>
                <w:noProof/>
                <w:webHidden/>
              </w:rPr>
              <w:t>31</w:t>
            </w:r>
            <w:r w:rsidRPr="00B64C17">
              <w:rPr>
                <w:noProof/>
                <w:webHidden/>
              </w:rPr>
              <w:fldChar w:fldCharType="end"/>
            </w:r>
          </w:hyperlink>
        </w:p>
        <w:p w14:paraId="69290198" w14:textId="77777777" w:rsidR="005C5664" w:rsidRPr="00B64C17" w:rsidRDefault="005C5664">
          <w:pPr>
            <w:pStyle w:val="TM3"/>
            <w:rPr>
              <w:noProof/>
              <w:sz w:val="22"/>
              <w:szCs w:val="22"/>
              <w:lang w:eastAsia="fr-FR"/>
            </w:rPr>
          </w:pPr>
          <w:hyperlink w:anchor="_Toc7425944" w:history="1">
            <w:r w:rsidRPr="00B64C17">
              <w:rPr>
                <w:rStyle w:val="Lienhypertexte"/>
                <w:noProof/>
                <w:color w:val="auto"/>
              </w:rPr>
              <w:t>Rôle du maitre d’œuvre dans le processus de paiement</w:t>
            </w:r>
            <w:r w:rsidRPr="00B64C17">
              <w:rPr>
                <w:noProof/>
                <w:webHidden/>
              </w:rPr>
              <w:tab/>
            </w:r>
            <w:r w:rsidRPr="00B64C17">
              <w:rPr>
                <w:noProof/>
                <w:webHidden/>
              </w:rPr>
              <w:fldChar w:fldCharType="begin"/>
            </w:r>
            <w:r w:rsidRPr="00B64C17">
              <w:rPr>
                <w:noProof/>
                <w:webHidden/>
              </w:rPr>
              <w:instrText xml:space="preserve"> PAGEREF _Toc7425944 \h </w:instrText>
            </w:r>
            <w:r w:rsidRPr="00B64C17">
              <w:rPr>
                <w:noProof/>
                <w:webHidden/>
              </w:rPr>
            </w:r>
            <w:r w:rsidRPr="00B64C17">
              <w:rPr>
                <w:noProof/>
                <w:webHidden/>
              </w:rPr>
              <w:fldChar w:fldCharType="separate"/>
            </w:r>
            <w:r w:rsidR="00DF5AD3">
              <w:rPr>
                <w:noProof/>
                <w:webHidden/>
              </w:rPr>
              <w:t>33</w:t>
            </w:r>
            <w:r w:rsidRPr="00B64C17">
              <w:rPr>
                <w:noProof/>
                <w:webHidden/>
              </w:rPr>
              <w:fldChar w:fldCharType="end"/>
            </w:r>
          </w:hyperlink>
        </w:p>
        <w:p w14:paraId="652F045A" w14:textId="77777777" w:rsidR="005C5664" w:rsidRPr="00B64C17" w:rsidRDefault="005C5664">
          <w:pPr>
            <w:pStyle w:val="TM3"/>
            <w:rPr>
              <w:noProof/>
              <w:sz w:val="22"/>
              <w:szCs w:val="22"/>
              <w:lang w:eastAsia="fr-FR"/>
            </w:rPr>
          </w:pPr>
          <w:hyperlink w:anchor="_Toc7425945" w:history="1">
            <w:r w:rsidRPr="00B64C17">
              <w:rPr>
                <w:rStyle w:val="Lienhypertexte"/>
                <w:noProof/>
                <w:color w:val="auto"/>
              </w:rPr>
              <w:t>Bonnes pratiques susceptibles de favoriser la diminution des délais de paiement</w:t>
            </w:r>
            <w:r w:rsidRPr="00B64C17">
              <w:rPr>
                <w:noProof/>
                <w:webHidden/>
              </w:rPr>
              <w:tab/>
            </w:r>
            <w:r w:rsidRPr="00B64C17">
              <w:rPr>
                <w:noProof/>
                <w:webHidden/>
              </w:rPr>
              <w:fldChar w:fldCharType="begin"/>
            </w:r>
            <w:r w:rsidRPr="00B64C17">
              <w:rPr>
                <w:noProof/>
                <w:webHidden/>
              </w:rPr>
              <w:instrText xml:space="preserve"> PAGEREF _Toc7425945 \h </w:instrText>
            </w:r>
            <w:r w:rsidRPr="00B64C17">
              <w:rPr>
                <w:noProof/>
                <w:webHidden/>
              </w:rPr>
            </w:r>
            <w:r w:rsidRPr="00B64C17">
              <w:rPr>
                <w:noProof/>
                <w:webHidden/>
              </w:rPr>
              <w:fldChar w:fldCharType="separate"/>
            </w:r>
            <w:r w:rsidR="00DF5AD3">
              <w:rPr>
                <w:noProof/>
                <w:webHidden/>
              </w:rPr>
              <w:t>33</w:t>
            </w:r>
            <w:r w:rsidRPr="00B64C17">
              <w:rPr>
                <w:noProof/>
                <w:webHidden/>
              </w:rPr>
              <w:fldChar w:fldCharType="end"/>
            </w:r>
          </w:hyperlink>
        </w:p>
        <w:p w14:paraId="57C6CC42" w14:textId="77777777" w:rsidR="005C5664" w:rsidRPr="00B64C17" w:rsidRDefault="005C5664">
          <w:pPr>
            <w:pStyle w:val="TM1"/>
            <w:rPr>
              <w:noProof/>
              <w:sz w:val="22"/>
              <w:szCs w:val="22"/>
              <w:lang w:eastAsia="fr-FR"/>
            </w:rPr>
          </w:pPr>
          <w:hyperlink w:anchor="_Toc7425946" w:history="1">
            <w:r w:rsidRPr="00B64C17">
              <w:rPr>
                <w:rStyle w:val="Lienhypertexte"/>
                <w:noProof/>
                <w:color w:val="auto"/>
              </w:rPr>
              <w:t>Fiche 14 : Assurer un suivi conjoint d’exécution</w:t>
            </w:r>
            <w:r w:rsidRPr="00B64C17">
              <w:rPr>
                <w:noProof/>
                <w:webHidden/>
              </w:rPr>
              <w:tab/>
            </w:r>
            <w:r w:rsidRPr="00B64C17">
              <w:rPr>
                <w:noProof/>
                <w:webHidden/>
              </w:rPr>
              <w:fldChar w:fldCharType="begin"/>
            </w:r>
            <w:r w:rsidRPr="00B64C17">
              <w:rPr>
                <w:noProof/>
                <w:webHidden/>
              </w:rPr>
              <w:instrText xml:space="preserve"> PAGEREF _Toc7425946 \h </w:instrText>
            </w:r>
            <w:r w:rsidRPr="00B64C17">
              <w:rPr>
                <w:noProof/>
                <w:webHidden/>
              </w:rPr>
            </w:r>
            <w:r w:rsidRPr="00B64C17">
              <w:rPr>
                <w:noProof/>
                <w:webHidden/>
              </w:rPr>
              <w:fldChar w:fldCharType="separate"/>
            </w:r>
            <w:r w:rsidR="00DF5AD3">
              <w:rPr>
                <w:noProof/>
                <w:webHidden/>
              </w:rPr>
              <w:t>34</w:t>
            </w:r>
            <w:r w:rsidRPr="00B64C17">
              <w:rPr>
                <w:noProof/>
                <w:webHidden/>
              </w:rPr>
              <w:fldChar w:fldCharType="end"/>
            </w:r>
          </w:hyperlink>
        </w:p>
        <w:p w14:paraId="0096D879" w14:textId="77777777" w:rsidR="005C5664" w:rsidRPr="00B64C17" w:rsidRDefault="005C5664">
          <w:pPr>
            <w:pStyle w:val="TM2"/>
            <w:rPr>
              <w:noProof/>
              <w:sz w:val="22"/>
              <w:szCs w:val="22"/>
              <w:lang w:eastAsia="fr-FR"/>
            </w:rPr>
          </w:pPr>
          <w:hyperlink w:anchor="_Toc7425947" w:history="1">
            <w:r w:rsidRPr="00B64C17">
              <w:rPr>
                <w:rStyle w:val="Lienhypertexte"/>
                <w:noProof/>
                <w:color w:val="auto"/>
              </w:rPr>
              <w:t>Recours aux pénalités</w:t>
            </w:r>
            <w:r w:rsidRPr="00B64C17">
              <w:rPr>
                <w:noProof/>
                <w:webHidden/>
              </w:rPr>
              <w:tab/>
            </w:r>
            <w:r w:rsidRPr="00B64C17">
              <w:rPr>
                <w:noProof/>
                <w:webHidden/>
              </w:rPr>
              <w:fldChar w:fldCharType="begin"/>
            </w:r>
            <w:r w:rsidRPr="00B64C17">
              <w:rPr>
                <w:noProof/>
                <w:webHidden/>
              </w:rPr>
              <w:instrText xml:space="preserve"> PAGEREF _Toc7425947 \h </w:instrText>
            </w:r>
            <w:r w:rsidRPr="00B64C17">
              <w:rPr>
                <w:noProof/>
                <w:webHidden/>
              </w:rPr>
            </w:r>
            <w:r w:rsidRPr="00B64C17">
              <w:rPr>
                <w:noProof/>
                <w:webHidden/>
              </w:rPr>
              <w:fldChar w:fldCharType="separate"/>
            </w:r>
            <w:r w:rsidR="00DF5AD3">
              <w:rPr>
                <w:noProof/>
                <w:webHidden/>
              </w:rPr>
              <w:t>34</w:t>
            </w:r>
            <w:r w:rsidRPr="00B64C17">
              <w:rPr>
                <w:noProof/>
                <w:webHidden/>
              </w:rPr>
              <w:fldChar w:fldCharType="end"/>
            </w:r>
          </w:hyperlink>
        </w:p>
        <w:p w14:paraId="35FB3AED" w14:textId="77777777" w:rsidR="005C5664" w:rsidRPr="00B64C17" w:rsidRDefault="005C5664">
          <w:pPr>
            <w:pStyle w:val="TM2"/>
            <w:rPr>
              <w:noProof/>
              <w:sz w:val="22"/>
              <w:szCs w:val="22"/>
              <w:lang w:eastAsia="fr-FR"/>
            </w:rPr>
          </w:pPr>
          <w:hyperlink w:anchor="_Toc7425948" w:history="1">
            <w:r w:rsidRPr="00B64C17">
              <w:rPr>
                <w:rStyle w:val="Lienhypertexte"/>
                <w:noProof/>
                <w:color w:val="auto"/>
              </w:rPr>
              <w:t>Recours aux clauses incitatives</w:t>
            </w:r>
            <w:r w:rsidRPr="00B64C17">
              <w:rPr>
                <w:noProof/>
                <w:webHidden/>
              </w:rPr>
              <w:tab/>
            </w:r>
            <w:r w:rsidRPr="00B64C17">
              <w:rPr>
                <w:noProof/>
                <w:webHidden/>
              </w:rPr>
              <w:fldChar w:fldCharType="begin"/>
            </w:r>
            <w:r w:rsidRPr="00B64C17">
              <w:rPr>
                <w:noProof/>
                <w:webHidden/>
              </w:rPr>
              <w:instrText xml:space="preserve"> PAGEREF _Toc7425948 \h </w:instrText>
            </w:r>
            <w:r w:rsidRPr="00B64C17">
              <w:rPr>
                <w:noProof/>
                <w:webHidden/>
              </w:rPr>
            </w:r>
            <w:r w:rsidRPr="00B64C17">
              <w:rPr>
                <w:noProof/>
                <w:webHidden/>
              </w:rPr>
              <w:fldChar w:fldCharType="separate"/>
            </w:r>
            <w:r w:rsidR="00DF5AD3">
              <w:rPr>
                <w:noProof/>
                <w:webHidden/>
              </w:rPr>
              <w:t>35</w:t>
            </w:r>
            <w:r w:rsidRPr="00B64C17">
              <w:rPr>
                <w:noProof/>
                <w:webHidden/>
              </w:rPr>
              <w:fldChar w:fldCharType="end"/>
            </w:r>
          </w:hyperlink>
        </w:p>
        <w:p w14:paraId="02106CF2" w14:textId="77777777" w:rsidR="005C5664" w:rsidRPr="00B64C17" w:rsidRDefault="005C5664">
          <w:pPr>
            <w:pStyle w:val="TM2"/>
            <w:rPr>
              <w:noProof/>
              <w:sz w:val="22"/>
              <w:szCs w:val="22"/>
              <w:lang w:eastAsia="fr-FR"/>
            </w:rPr>
          </w:pPr>
          <w:hyperlink w:anchor="_Toc7425949" w:history="1">
            <w:r w:rsidRPr="00B64C17">
              <w:rPr>
                <w:rStyle w:val="Lienhypertexte"/>
                <w:noProof/>
                <w:color w:val="auto"/>
              </w:rPr>
              <w:t>Recours aux clauses de réexamen</w:t>
            </w:r>
            <w:r w:rsidRPr="00B64C17">
              <w:rPr>
                <w:noProof/>
                <w:webHidden/>
              </w:rPr>
              <w:tab/>
            </w:r>
            <w:r w:rsidRPr="00B64C17">
              <w:rPr>
                <w:noProof/>
                <w:webHidden/>
              </w:rPr>
              <w:fldChar w:fldCharType="begin"/>
            </w:r>
            <w:r w:rsidRPr="00B64C17">
              <w:rPr>
                <w:noProof/>
                <w:webHidden/>
              </w:rPr>
              <w:instrText xml:space="preserve"> PAGEREF _Toc7425949 \h </w:instrText>
            </w:r>
            <w:r w:rsidRPr="00B64C17">
              <w:rPr>
                <w:noProof/>
                <w:webHidden/>
              </w:rPr>
            </w:r>
            <w:r w:rsidRPr="00B64C17">
              <w:rPr>
                <w:noProof/>
                <w:webHidden/>
              </w:rPr>
              <w:fldChar w:fldCharType="separate"/>
            </w:r>
            <w:r w:rsidR="00DF5AD3">
              <w:rPr>
                <w:noProof/>
                <w:webHidden/>
              </w:rPr>
              <w:t>36</w:t>
            </w:r>
            <w:r w:rsidRPr="00B64C17">
              <w:rPr>
                <w:noProof/>
                <w:webHidden/>
              </w:rPr>
              <w:fldChar w:fldCharType="end"/>
            </w:r>
          </w:hyperlink>
        </w:p>
        <w:p w14:paraId="4B302C7F" w14:textId="77777777" w:rsidR="005C5664" w:rsidRPr="00B64C17" w:rsidRDefault="005C5664">
          <w:pPr>
            <w:pStyle w:val="TM1"/>
            <w:rPr>
              <w:noProof/>
              <w:sz w:val="22"/>
              <w:szCs w:val="22"/>
              <w:lang w:eastAsia="fr-FR"/>
            </w:rPr>
          </w:pPr>
          <w:hyperlink w:anchor="_Toc7425950" w:history="1">
            <w:r w:rsidRPr="00B64C17">
              <w:rPr>
                <w:rStyle w:val="Lienhypertexte"/>
                <w:noProof/>
                <w:color w:val="auto"/>
              </w:rPr>
              <w:t>Fiche 15 : Gérer les variation des prix</w:t>
            </w:r>
            <w:r w:rsidRPr="00B64C17">
              <w:rPr>
                <w:noProof/>
                <w:webHidden/>
              </w:rPr>
              <w:tab/>
            </w:r>
            <w:r w:rsidRPr="00B64C17">
              <w:rPr>
                <w:noProof/>
                <w:webHidden/>
              </w:rPr>
              <w:fldChar w:fldCharType="begin"/>
            </w:r>
            <w:r w:rsidRPr="00B64C17">
              <w:rPr>
                <w:noProof/>
                <w:webHidden/>
              </w:rPr>
              <w:instrText xml:space="preserve"> PAGEREF _Toc7425950 \h </w:instrText>
            </w:r>
            <w:r w:rsidRPr="00B64C17">
              <w:rPr>
                <w:noProof/>
                <w:webHidden/>
              </w:rPr>
            </w:r>
            <w:r w:rsidRPr="00B64C17">
              <w:rPr>
                <w:noProof/>
                <w:webHidden/>
              </w:rPr>
              <w:fldChar w:fldCharType="separate"/>
            </w:r>
            <w:r w:rsidR="00DF5AD3">
              <w:rPr>
                <w:noProof/>
                <w:webHidden/>
              </w:rPr>
              <w:t>37</w:t>
            </w:r>
            <w:r w:rsidRPr="00B64C17">
              <w:rPr>
                <w:noProof/>
                <w:webHidden/>
              </w:rPr>
              <w:fldChar w:fldCharType="end"/>
            </w:r>
          </w:hyperlink>
        </w:p>
        <w:p w14:paraId="1227E0E7" w14:textId="77777777" w:rsidR="005C5664" w:rsidRPr="00B64C17" w:rsidRDefault="005C5664">
          <w:pPr>
            <w:pStyle w:val="TM1"/>
            <w:rPr>
              <w:noProof/>
              <w:sz w:val="22"/>
              <w:szCs w:val="22"/>
              <w:lang w:eastAsia="fr-FR"/>
            </w:rPr>
          </w:pPr>
          <w:hyperlink w:anchor="_Toc7425951" w:history="1">
            <w:r w:rsidRPr="00B64C17">
              <w:rPr>
                <w:rStyle w:val="Lienhypertexte"/>
                <w:noProof/>
                <w:color w:val="auto"/>
              </w:rPr>
              <w:t>Fiche 16 : Contrôler et accompagner la sous-traitance</w:t>
            </w:r>
            <w:r w:rsidRPr="00B64C17">
              <w:rPr>
                <w:noProof/>
                <w:webHidden/>
              </w:rPr>
              <w:tab/>
            </w:r>
            <w:r w:rsidRPr="00B64C17">
              <w:rPr>
                <w:noProof/>
                <w:webHidden/>
              </w:rPr>
              <w:fldChar w:fldCharType="begin"/>
            </w:r>
            <w:r w:rsidRPr="00B64C17">
              <w:rPr>
                <w:noProof/>
                <w:webHidden/>
              </w:rPr>
              <w:instrText xml:space="preserve"> PAGEREF _Toc7425951 \h </w:instrText>
            </w:r>
            <w:r w:rsidRPr="00B64C17">
              <w:rPr>
                <w:noProof/>
                <w:webHidden/>
              </w:rPr>
            </w:r>
            <w:r w:rsidRPr="00B64C17">
              <w:rPr>
                <w:noProof/>
                <w:webHidden/>
              </w:rPr>
              <w:fldChar w:fldCharType="separate"/>
            </w:r>
            <w:r w:rsidR="00DF5AD3">
              <w:rPr>
                <w:noProof/>
                <w:webHidden/>
              </w:rPr>
              <w:t>39</w:t>
            </w:r>
            <w:r w:rsidRPr="00B64C17">
              <w:rPr>
                <w:noProof/>
                <w:webHidden/>
              </w:rPr>
              <w:fldChar w:fldCharType="end"/>
            </w:r>
          </w:hyperlink>
        </w:p>
        <w:p w14:paraId="1EEBC374" w14:textId="77777777" w:rsidR="005C5664" w:rsidRPr="00B64C17" w:rsidRDefault="005C5664">
          <w:pPr>
            <w:pStyle w:val="TM3"/>
            <w:rPr>
              <w:noProof/>
              <w:sz w:val="22"/>
              <w:szCs w:val="22"/>
              <w:lang w:eastAsia="fr-FR"/>
            </w:rPr>
          </w:pPr>
          <w:hyperlink w:anchor="_Toc7425952" w:history="1">
            <w:r w:rsidRPr="00B64C17">
              <w:rPr>
                <w:rStyle w:val="Lienhypertexte"/>
                <w:noProof/>
                <w:color w:val="auto"/>
              </w:rPr>
              <w:t>Principe général</w:t>
            </w:r>
            <w:r w:rsidRPr="00B64C17">
              <w:rPr>
                <w:noProof/>
                <w:webHidden/>
              </w:rPr>
              <w:tab/>
            </w:r>
            <w:r w:rsidRPr="00B64C17">
              <w:rPr>
                <w:noProof/>
                <w:webHidden/>
              </w:rPr>
              <w:fldChar w:fldCharType="begin"/>
            </w:r>
            <w:r w:rsidRPr="00B64C17">
              <w:rPr>
                <w:noProof/>
                <w:webHidden/>
              </w:rPr>
              <w:instrText xml:space="preserve"> PAGEREF _Toc7425952 \h </w:instrText>
            </w:r>
            <w:r w:rsidRPr="00B64C17">
              <w:rPr>
                <w:noProof/>
                <w:webHidden/>
              </w:rPr>
            </w:r>
            <w:r w:rsidRPr="00B64C17">
              <w:rPr>
                <w:noProof/>
                <w:webHidden/>
              </w:rPr>
              <w:fldChar w:fldCharType="separate"/>
            </w:r>
            <w:r w:rsidR="00DF5AD3">
              <w:rPr>
                <w:noProof/>
                <w:webHidden/>
              </w:rPr>
              <w:t>39</w:t>
            </w:r>
            <w:r w:rsidRPr="00B64C17">
              <w:rPr>
                <w:noProof/>
                <w:webHidden/>
              </w:rPr>
              <w:fldChar w:fldCharType="end"/>
            </w:r>
          </w:hyperlink>
        </w:p>
        <w:p w14:paraId="55B60232" w14:textId="77777777" w:rsidR="005C5664" w:rsidRPr="00B64C17" w:rsidRDefault="005C5664">
          <w:pPr>
            <w:pStyle w:val="TM3"/>
            <w:rPr>
              <w:noProof/>
              <w:sz w:val="22"/>
              <w:szCs w:val="22"/>
              <w:lang w:eastAsia="fr-FR"/>
            </w:rPr>
          </w:pPr>
          <w:hyperlink w:anchor="_Toc7425953" w:history="1">
            <w:r w:rsidRPr="00B64C17">
              <w:rPr>
                <w:rStyle w:val="Lienhypertexte"/>
                <w:noProof/>
                <w:color w:val="auto"/>
              </w:rPr>
              <w:t>Appreciation des sous-traitants dès le stade des offres</w:t>
            </w:r>
            <w:r w:rsidRPr="00B64C17">
              <w:rPr>
                <w:noProof/>
                <w:webHidden/>
              </w:rPr>
              <w:tab/>
            </w:r>
            <w:r w:rsidRPr="00B64C17">
              <w:rPr>
                <w:noProof/>
                <w:webHidden/>
              </w:rPr>
              <w:fldChar w:fldCharType="begin"/>
            </w:r>
            <w:r w:rsidRPr="00B64C17">
              <w:rPr>
                <w:noProof/>
                <w:webHidden/>
              </w:rPr>
              <w:instrText xml:space="preserve"> PAGEREF _Toc7425953 \h </w:instrText>
            </w:r>
            <w:r w:rsidRPr="00B64C17">
              <w:rPr>
                <w:noProof/>
                <w:webHidden/>
              </w:rPr>
            </w:r>
            <w:r w:rsidRPr="00B64C17">
              <w:rPr>
                <w:noProof/>
                <w:webHidden/>
              </w:rPr>
              <w:fldChar w:fldCharType="separate"/>
            </w:r>
            <w:r w:rsidR="00DF5AD3">
              <w:rPr>
                <w:noProof/>
                <w:webHidden/>
              </w:rPr>
              <w:t>39</w:t>
            </w:r>
            <w:r w:rsidRPr="00B64C17">
              <w:rPr>
                <w:noProof/>
                <w:webHidden/>
              </w:rPr>
              <w:fldChar w:fldCharType="end"/>
            </w:r>
          </w:hyperlink>
        </w:p>
        <w:p w14:paraId="427F15D3" w14:textId="77777777" w:rsidR="005C5664" w:rsidRPr="00B64C17" w:rsidRDefault="005C5664">
          <w:pPr>
            <w:pStyle w:val="TM3"/>
            <w:rPr>
              <w:noProof/>
              <w:sz w:val="22"/>
              <w:szCs w:val="22"/>
              <w:lang w:eastAsia="fr-FR"/>
            </w:rPr>
          </w:pPr>
          <w:hyperlink w:anchor="_Toc7425954" w:history="1">
            <w:r w:rsidRPr="00B64C17">
              <w:rPr>
                <w:rStyle w:val="Lienhypertexte"/>
                <w:noProof/>
                <w:color w:val="auto"/>
              </w:rPr>
              <w:t>Contrôle des sous-traitants en cours d’exécution</w:t>
            </w:r>
            <w:r w:rsidRPr="00B64C17">
              <w:rPr>
                <w:noProof/>
                <w:webHidden/>
              </w:rPr>
              <w:tab/>
            </w:r>
            <w:r w:rsidRPr="00B64C17">
              <w:rPr>
                <w:noProof/>
                <w:webHidden/>
              </w:rPr>
              <w:fldChar w:fldCharType="begin"/>
            </w:r>
            <w:r w:rsidRPr="00B64C17">
              <w:rPr>
                <w:noProof/>
                <w:webHidden/>
              </w:rPr>
              <w:instrText xml:space="preserve"> PAGEREF _Toc7425954 \h </w:instrText>
            </w:r>
            <w:r w:rsidRPr="00B64C17">
              <w:rPr>
                <w:noProof/>
                <w:webHidden/>
              </w:rPr>
            </w:r>
            <w:r w:rsidRPr="00B64C17">
              <w:rPr>
                <w:noProof/>
                <w:webHidden/>
              </w:rPr>
              <w:fldChar w:fldCharType="separate"/>
            </w:r>
            <w:r w:rsidR="00DF5AD3">
              <w:rPr>
                <w:noProof/>
                <w:webHidden/>
              </w:rPr>
              <w:t>40</w:t>
            </w:r>
            <w:r w:rsidRPr="00B64C17">
              <w:rPr>
                <w:noProof/>
                <w:webHidden/>
              </w:rPr>
              <w:fldChar w:fldCharType="end"/>
            </w:r>
          </w:hyperlink>
        </w:p>
        <w:p w14:paraId="20751B71" w14:textId="77777777" w:rsidR="005C5664" w:rsidRPr="00B64C17" w:rsidRDefault="005C5664">
          <w:pPr>
            <w:pStyle w:val="TM3"/>
            <w:rPr>
              <w:noProof/>
              <w:sz w:val="22"/>
              <w:szCs w:val="22"/>
              <w:lang w:eastAsia="fr-FR"/>
            </w:rPr>
          </w:pPr>
          <w:hyperlink w:anchor="_Toc7425955" w:history="1">
            <w:r w:rsidRPr="00B64C17">
              <w:rPr>
                <w:rStyle w:val="Lienhypertexte"/>
                <w:noProof/>
                <w:color w:val="auto"/>
              </w:rPr>
              <w:t>Paiement direct des sous-traitants</w:t>
            </w:r>
            <w:r w:rsidRPr="00B64C17">
              <w:rPr>
                <w:noProof/>
                <w:webHidden/>
              </w:rPr>
              <w:tab/>
            </w:r>
            <w:r w:rsidRPr="00B64C17">
              <w:rPr>
                <w:noProof/>
                <w:webHidden/>
              </w:rPr>
              <w:fldChar w:fldCharType="begin"/>
            </w:r>
            <w:r w:rsidRPr="00B64C17">
              <w:rPr>
                <w:noProof/>
                <w:webHidden/>
              </w:rPr>
              <w:instrText xml:space="preserve"> PAGEREF _Toc7425955 \h </w:instrText>
            </w:r>
            <w:r w:rsidRPr="00B64C17">
              <w:rPr>
                <w:noProof/>
                <w:webHidden/>
              </w:rPr>
            </w:r>
            <w:r w:rsidRPr="00B64C17">
              <w:rPr>
                <w:noProof/>
                <w:webHidden/>
              </w:rPr>
              <w:fldChar w:fldCharType="separate"/>
            </w:r>
            <w:r w:rsidR="00DF5AD3">
              <w:rPr>
                <w:noProof/>
                <w:webHidden/>
              </w:rPr>
              <w:t>41</w:t>
            </w:r>
            <w:r w:rsidRPr="00B64C17">
              <w:rPr>
                <w:noProof/>
                <w:webHidden/>
              </w:rPr>
              <w:fldChar w:fldCharType="end"/>
            </w:r>
          </w:hyperlink>
        </w:p>
        <w:p w14:paraId="60DFA065" w14:textId="77777777" w:rsidR="00B64C17" w:rsidRPr="00B64C17" w:rsidRDefault="00B64C17">
          <w:pPr>
            <w:pStyle w:val="TM1"/>
            <w:rPr>
              <w:rStyle w:val="Lienhypertexte"/>
              <w:noProof/>
              <w:color w:val="auto"/>
              <w:sz w:val="16"/>
            </w:rPr>
          </w:pPr>
        </w:p>
        <w:p w14:paraId="47AA8515" w14:textId="77777777" w:rsidR="005C5664" w:rsidRPr="00B64C17" w:rsidRDefault="005C5664">
          <w:pPr>
            <w:pStyle w:val="TM1"/>
            <w:rPr>
              <w:noProof/>
              <w:sz w:val="22"/>
              <w:szCs w:val="22"/>
              <w:lang w:eastAsia="fr-FR"/>
            </w:rPr>
          </w:pPr>
          <w:hyperlink w:anchor="_Toc7425956" w:history="1">
            <w:r w:rsidRPr="00B64C17">
              <w:rPr>
                <w:rStyle w:val="Lienhypertexte"/>
                <w:b/>
                <w:noProof/>
                <w:color w:val="auto"/>
              </w:rPr>
              <w:t>Remerciements</w:t>
            </w:r>
            <w:r w:rsidRPr="00B64C17">
              <w:rPr>
                <w:noProof/>
                <w:webHidden/>
              </w:rPr>
              <w:tab/>
            </w:r>
            <w:r w:rsidRPr="00B64C17">
              <w:rPr>
                <w:noProof/>
                <w:webHidden/>
              </w:rPr>
              <w:fldChar w:fldCharType="begin"/>
            </w:r>
            <w:r w:rsidRPr="00B64C17">
              <w:rPr>
                <w:noProof/>
                <w:webHidden/>
              </w:rPr>
              <w:instrText xml:space="preserve"> PAGEREF _Toc7425956 \h </w:instrText>
            </w:r>
            <w:r w:rsidRPr="00B64C17">
              <w:rPr>
                <w:noProof/>
                <w:webHidden/>
              </w:rPr>
            </w:r>
            <w:r w:rsidRPr="00B64C17">
              <w:rPr>
                <w:noProof/>
                <w:webHidden/>
              </w:rPr>
              <w:fldChar w:fldCharType="separate"/>
            </w:r>
            <w:r w:rsidR="00DF5AD3">
              <w:rPr>
                <w:noProof/>
                <w:webHidden/>
              </w:rPr>
              <w:t>42</w:t>
            </w:r>
            <w:r w:rsidRPr="00B64C17">
              <w:rPr>
                <w:noProof/>
                <w:webHidden/>
              </w:rPr>
              <w:fldChar w:fldCharType="end"/>
            </w:r>
          </w:hyperlink>
        </w:p>
        <w:p w14:paraId="1C1C4426" w14:textId="77777777" w:rsidR="00B64C17" w:rsidRDefault="00781998" w:rsidP="00B64C17">
          <w:pPr>
            <w:spacing w:before="0" w:after="120"/>
            <w:rPr>
              <w:bCs/>
            </w:rPr>
          </w:pPr>
          <w:r>
            <w:rPr>
              <w:b/>
              <w:bCs/>
            </w:rPr>
            <w:fldChar w:fldCharType="end"/>
          </w:r>
        </w:p>
      </w:sdtContent>
    </w:sdt>
    <w:p w14:paraId="58E92040" w14:textId="7081B990" w:rsidR="00191A44" w:rsidRDefault="00CD541B" w:rsidP="00DE123C">
      <w:pPr>
        <w:pStyle w:val="Titre1"/>
        <w:spacing w:after="240"/>
      </w:pPr>
      <w:bookmarkStart w:id="2" w:name="_Préambule_sur_la"/>
      <w:bookmarkStart w:id="3" w:name="_Toc7425921"/>
      <w:bookmarkEnd w:id="0"/>
      <w:bookmarkEnd w:id="2"/>
      <w:r>
        <w:lastRenderedPageBreak/>
        <w:t>Préambule s</w:t>
      </w:r>
      <w:r w:rsidR="00FB64E9">
        <w:t>ur la notion de TPE/PME</w:t>
      </w:r>
      <w:bookmarkEnd w:id="3"/>
    </w:p>
    <w:p w14:paraId="75C6A5F4" w14:textId="691CF85D" w:rsidR="00DE123C" w:rsidRDefault="00DE123C" w:rsidP="002C34E8">
      <w:pPr>
        <w:spacing w:after="120"/>
      </w:pPr>
      <w:r>
        <w:t>Avant tout développement relatif à l’accès des TPE/PME à la commande publique, il convient de s’entendre sur l</w:t>
      </w:r>
      <w:r w:rsidRPr="00DE123C">
        <w:t>a définition de la PME</w:t>
      </w:r>
      <w:r w:rsidR="00746C3B">
        <w:t>, car différentes méthodes de comptabilisation existent</w:t>
      </w:r>
      <w:r>
        <w:t xml:space="preserve">. </w:t>
      </w:r>
    </w:p>
    <w:p w14:paraId="5530A31B" w14:textId="57399785" w:rsidR="00DE123C" w:rsidRDefault="00DE123C" w:rsidP="00196F17">
      <w:pPr>
        <w:spacing w:after="60"/>
        <w:jc w:val="both"/>
      </w:pPr>
      <w:r>
        <w:t xml:space="preserve">Conformément à la </w:t>
      </w:r>
      <w:hyperlink r:id="rId15" w:history="1">
        <w:r w:rsidRPr="00937A83">
          <w:rPr>
            <w:rStyle w:val="Lienhypertexte"/>
          </w:rPr>
          <w:t>recommandation de la Commission</w:t>
        </w:r>
        <w:r w:rsidR="00937A83" w:rsidRPr="00937A83">
          <w:rPr>
            <w:rStyle w:val="Lienhypertexte"/>
          </w:rPr>
          <w:t xml:space="preserve"> européenne</w:t>
        </w:r>
      </w:hyperlink>
      <w:r w:rsidRPr="00DE123C">
        <w:t xml:space="preserve"> du 6 mai 2003</w:t>
      </w:r>
      <w:r>
        <w:t>,</w:t>
      </w:r>
      <w:r w:rsidRPr="00DE123C">
        <w:t xml:space="preserve"> </w:t>
      </w:r>
      <w:r w:rsidR="00196F17">
        <w:t xml:space="preserve">la notion de </w:t>
      </w:r>
      <w:r w:rsidR="00937A83">
        <w:t>TPE/</w:t>
      </w:r>
      <w:r w:rsidR="00196F17">
        <w:t>PME</w:t>
      </w:r>
      <w:r w:rsidRPr="00DE123C">
        <w:t xml:space="preserve"> repose sur </w:t>
      </w:r>
      <w:r w:rsidRPr="00DE123C">
        <w:rPr>
          <w:b/>
        </w:rPr>
        <w:t>trois critères</w:t>
      </w:r>
      <w:r w:rsidRPr="00DE123C">
        <w:t xml:space="preserve"> : </w:t>
      </w:r>
    </w:p>
    <w:p w14:paraId="7360D3D1" w14:textId="77777777" w:rsidR="00DE123C" w:rsidRDefault="00DE123C" w:rsidP="00DE123C">
      <w:pPr>
        <w:pStyle w:val="Paragraphedeliste"/>
        <w:numPr>
          <w:ilvl w:val="0"/>
          <w:numId w:val="30"/>
        </w:numPr>
        <w:spacing w:before="60"/>
        <w:ind w:left="714" w:hanging="357"/>
      </w:pPr>
      <w:r w:rsidRPr="00DE123C">
        <w:t xml:space="preserve">l’effectif (moins de 250 salariés employés), </w:t>
      </w:r>
    </w:p>
    <w:p w14:paraId="7674A474" w14:textId="64AADDDA" w:rsidR="00DE123C" w:rsidRDefault="00DE123C" w:rsidP="00DE123C">
      <w:pPr>
        <w:pStyle w:val="Paragraphedeliste"/>
        <w:numPr>
          <w:ilvl w:val="0"/>
          <w:numId w:val="30"/>
        </w:numPr>
      </w:pPr>
      <w:r w:rsidRPr="00DE123C">
        <w:t xml:space="preserve">le chiffre d’affaires (n’excédant pas 50 M€ ou un total du bilan annuel n’excédants pas 43 M€), </w:t>
      </w:r>
    </w:p>
    <w:p w14:paraId="2A2AE9D8" w14:textId="15E50427" w:rsidR="00DE123C" w:rsidRDefault="00DE123C" w:rsidP="002C34E8">
      <w:pPr>
        <w:pStyle w:val="Paragraphedeliste"/>
        <w:numPr>
          <w:ilvl w:val="0"/>
          <w:numId w:val="30"/>
        </w:numPr>
        <w:spacing w:after="120"/>
      </w:pPr>
      <w:r w:rsidRPr="00DE123C">
        <w:t>l’autonomie (les parts ou droits de vote détenus par une autre entreprise</w:t>
      </w:r>
      <w:r w:rsidR="00196F17">
        <w:t xml:space="preserve"> sont</w:t>
      </w:r>
      <w:r w:rsidRPr="00DE123C">
        <w:t xml:space="preserve"> inférieurs à 25 %). </w:t>
      </w:r>
    </w:p>
    <w:p w14:paraId="0D52B671" w14:textId="494072EE" w:rsidR="00196F17" w:rsidRDefault="00196F17" w:rsidP="00196F17">
      <w:pPr>
        <w:spacing w:after="60"/>
        <w:jc w:val="both"/>
      </w:pPr>
      <w:r>
        <w:t xml:space="preserve">Plus précisément, une entreprise est autonome : </w:t>
      </w:r>
    </w:p>
    <w:p w14:paraId="44D5FD40" w14:textId="7B2404C6" w:rsidR="00196F17" w:rsidRDefault="00196F17" w:rsidP="00196F17">
      <w:pPr>
        <w:pStyle w:val="Paragraphedeliste"/>
        <w:numPr>
          <w:ilvl w:val="0"/>
          <w:numId w:val="31"/>
        </w:numPr>
        <w:spacing w:before="60" w:after="120"/>
        <w:ind w:left="714" w:hanging="357"/>
        <w:jc w:val="both"/>
      </w:pPr>
      <w:r>
        <w:t>si elle est totalement indépendante, autrement dit si elle ne détient aucune participation dans d’autres entreprises et si aucune autre entreprise ne possède de participation dans l’entreprise ; ou</w:t>
      </w:r>
    </w:p>
    <w:p w14:paraId="65D1CBED" w14:textId="49FA1C35" w:rsidR="00F1173A" w:rsidRDefault="00196F17" w:rsidP="00196F17">
      <w:pPr>
        <w:pStyle w:val="Paragraphedeliste"/>
        <w:numPr>
          <w:ilvl w:val="0"/>
          <w:numId w:val="31"/>
        </w:numPr>
        <w:jc w:val="both"/>
      </w:pPr>
      <w:r>
        <w:t>si elle détient une participation de moins de</w:t>
      </w:r>
      <w:r w:rsidR="00937A83">
        <w:t xml:space="preserve"> </w:t>
      </w:r>
      <w:r>
        <w:t>25 % du capital ou des droits de vote (le plus</w:t>
      </w:r>
      <w:r w:rsidR="00F1173A">
        <w:t xml:space="preserve"> </w:t>
      </w:r>
      <w:r>
        <w:t>élevé des deux facteurs) d’une ou de plusieurs</w:t>
      </w:r>
      <w:r w:rsidR="00F1173A">
        <w:t xml:space="preserve"> </w:t>
      </w:r>
      <w:r>
        <w:t>autres entreprises et/ou</w:t>
      </w:r>
      <w:r w:rsidR="00F1173A">
        <w:t xml:space="preserve"> s</w:t>
      </w:r>
      <w:r>
        <w:t>i des tiers ne détiennent pas de participation</w:t>
      </w:r>
      <w:r w:rsidR="00F1173A">
        <w:t xml:space="preserve"> </w:t>
      </w:r>
      <w:r>
        <w:t>de plus de 25 % du capital ou des droits</w:t>
      </w:r>
      <w:r w:rsidR="00F1173A">
        <w:t xml:space="preserve"> </w:t>
      </w:r>
      <w:r>
        <w:t>de vote (le plus élevé des deux facteurs) de</w:t>
      </w:r>
      <w:r w:rsidR="00F1173A">
        <w:t xml:space="preserve"> </w:t>
      </w:r>
      <w:r>
        <w:t>l’entreprise</w:t>
      </w:r>
      <w:r w:rsidR="00F1173A">
        <w:t xml:space="preserve"> </w:t>
      </w:r>
      <w:r>
        <w:t>;</w:t>
      </w:r>
      <w:r w:rsidR="00F1173A">
        <w:t xml:space="preserve"> </w:t>
      </w:r>
      <w:r>
        <w:t>ou</w:t>
      </w:r>
    </w:p>
    <w:p w14:paraId="519FF1C4" w14:textId="3C8929D3" w:rsidR="00955465" w:rsidRDefault="00196F17" w:rsidP="00937A83">
      <w:pPr>
        <w:pStyle w:val="Paragraphedeliste"/>
        <w:numPr>
          <w:ilvl w:val="0"/>
          <w:numId w:val="31"/>
        </w:numPr>
        <w:spacing w:after="180"/>
        <w:jc w:val="both"/>
      </w:pPr>
      <w:r>
        <w:t xml:space="preserve">si elle n’est </w:t>
      </w:r>
      <w:r w:rsidR="00F1173A">
        <w:t xml:space="preserve">pas liée à une autre entreprise </w:t>
      </w:r>
      <w:r>
        <w:t>à travers une personne physique</w:t>
      </w:r>
      <w:r w:rsidR="00F1173A">
        <w:t>.</w:t>
      </w:r>
    </w:p>
    <w:p w14:paraId="564B6D1F" w14:textId="48D33707" w:rsidR="00043169" w:rsidRDefault="00043169">
      <w:bookmarkStart w:id="4" w:name="_Toc2867176"/>
      <w:r>
        <w:rPr>
          <w:noProof/>
          <w:lang w:eastAsia="fr-FR"/>
        </w:rPr>
        <w:drawing>
          <wp:inline distT="0" distB="0" distL="0" distR="0" wp14:anchorId="64B7FF48" wp14:editId="4783AEAE">
            <wp:extent cx="2797175" cy="2103407"/>
            <wp:effectExtent l="0" t="0" r="317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ME.PNG"/>
                    <pic:cNvPicPr/>
                  </pic:nvPicPr>
                  <pic:blipFill>
                    <a:blip r:embed="rId16">
                      <a:extLst>
                        <a:ext uri="{28A0092B-C50C-407E-A947-70E740481C1C}">
                          <a14:useLocalDpi xmlns:a14="http://schemas.microsoft.com/office/drawing/2010/main" val="0"/>
                        </a:ext>
                      </a:extLst>
                    </a:blip>
                    <a:stretch>
                      <a:fillRect/>
                    </a:stretch>
                  </pic:blipFill>
                  <pic:spPr>
                    <a:xfrm>
                      <a:off x="0" y="0"/>
                      <a:ext cx="2827757" cy="2126404"/>
                    </a:xfrm>
                    <a:prstGeom prst="rect">
                      <a:avLst/>
                    </a:prstGeom>
                  </pic:spPr>
                </pic:pic>
              </a:graphicData>
            </a:graphic>
          </wp:inline>
        </w:drawing>
      </w:r>
      <w:r>
        <w:t xml:space="preserve">    </w:t>
      </w:r>
      <w:r>
        <w:rPr>
          <w:noProof/>
          <w:lang w:eastAsia="fr-FR"/>
        </w:rPr>
        <w:drawing>
          <wp:inline distT="0" distB="0" distL="0" distR="0" wp14:anchorId="29C34607" wp14:editId="352EC5B8">
            <wp:extent cx="2790967" cy="210074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ME 2.PNG"/>
                    <pic:cNvPicPr/>
                  </pic:nvPicPr>
                  <pic:blipFill>
                    <a:blip r:embed="rId17">
                      <a:extLst>
                        <a:ext uri="{28A0092B-C50C-407E-A947-70E740481C1C}">
                          <a14:useLocalDpi xmlns:a14="http://schemas.microsoft.com/office/drawing/2010/main" val="0"/>
                        </a:ext>
                      </a:extLst>
                    </a:blip>
                    <a:stretch>
                      <a:fillRect/>
                    </a:stretch>
                  </pic:blipFill>
                  <pic:spPr>
                    <a:xfrm>
                      <a:off x="0" y="0"/>
                      <a:ext cx="2817539" cy="2120741"/>
                    </a:xfrm>
                    <a:prstGeom prst="rect">
                      <a:avLst/>
                    </a:prstGeom>
                  </pic:spPr>
                </pic:pic>
              </a:graphicData>
            </a:graphic>
          </wp:inline>
        </w:drawing>
      </w:r>
    </w:p>
    <w:p w14:paraId="380AC211" w14:textId="52166969" w:rsidR="00937A83" w:rsidRDefault="00937A83" w:rsidP="00937A83">
      <w:pPr>
        <w:spacing w:before="180" w:after="120"/>
        <w:jc w:val="both"/>
        <w:rPr>
          <w:color w:val="FF0000"/>
        </w:rPr>
      </w:pPr>
      <w:r w:rsidRPr="00937A83">
        <w:rPr>
          <w:color w:val="FF0000"/>
        </w:rPr>
        <w:t xml:space="preserve">Il n’est certes pas aisé de mettre en œuvre le troisième critère relatif à l’autonomie, cependant il convient de ne pas l’occulter, sous peine de décompter au sein des PME des entreprises qui n’en sont pas réellement, car </w:t>
      </w:r>
      <w:r w:rsidRPr="00937A83">
        <w:rPr>
          <w:color w:val="FF0000"/>
        </w:rPr>
        <w:br/>
        <w:t>liées / détenues par de grandes entreprises. De ce fait, elles ne connaissent</w:t>
      </w:r>
      <w:r w:rsidR="006738A5">
        <w:rPr>
          <w:color w:val="FF0000"/>
        </w:rPr>
        <w:t xml:space="preserve"> </w:t>
      </w:r>
      <w:r w:rsidR="006738A5" w:rsidRPr="006738A5">
        <w:rPr>
          <w:i/>
          <w:color w:val="FF0000"/>
        </w:rPr>
        <w:t>a priori</w:t>
      </w:r>
      <w:r w:rsidRPr="00937A83">
        <w:rPr>
          <w:color w:val="FF0000"/>
        </w:rPr>
        <w:t xml:space="preserve"> pas les mêmes difficultés de financement et de trésorerie que les PME.</w:t>
      </w:r>
    </w:p>
    <w:p w14:paraId="0FC3E9FC" w14:textId="458BD44A" w:rsidR="00937A83" w:rsidRPr="00937A83" w:rsidRDefault="00937A83" w:rsidP="00937A83">
      <w:pPr>
        <w:spacing w:after="120"/>
        <w:jc w:val="both"/>
      </w:pPr>
      <w:r w:rsidRPr="00937A83">
        <w:t xml:space="preserve">Il est d’autant plus important de savoir si l’opérateur économique est une PME que ce statut juridique emporte des mesures spécifiques obligatoires pour les marchés de l’Etat, facultatives pour les collectivités territoriales et </w:t>
      </w:r>
      <w:r w:rsidR="00AE4653">
        <w:t xml:space="preserve">les </w:t>
      </w:r>
      <w:r w:rsidRPr="00937A83">
        <w:t xml:space="preserve">autres acheteurs (ex : augmentation du taux </w:t>
      </w:r>
      <w:r w:rsidR="000F76C5">
        <w:t xml:space="preserve">minimum </w:t>
      </w:r>
      <w:r w:rsidRPr="00937A83">
        <w:t xml:space="preserve">des avances). </w:t>
      </w:r>
    </w:p>
    <w:p w14:paraId="20399D91" w14:textId="5D5E7EF1" w:rsidR="002C3946" w:rsidRDefault="003D074C" w:rsidP="00937A83">
      <w:pPr>
        <w:spacing w:before="120" w:after="120"/>
        <w:jc w:val="both"/>
      </w:pPr>
      <w:r>
        <w:t>Par exemp</w:t>
      </w:r>
      <w:r w:rsidR="002C3946">
        <w:t>le, l’UGAP procède au suivi de s</w:t>
      </w:r>
      <w:r>
        <w:t>es fournisseurs selon la catégorisation</w:t>
      </w:r>
      <w:r w:rsidR="002C3946">
        <w:t xml:space="preserve"> et la méthode</w:t>
      </w:r>
      <w:r>
        <w:t xml:space="preserve"> recommandée</w:t>
      </w:r>
      <w:r w:rsidR="002C3946">
        <w:t>s</w:t>
      </w:r>
      <w:r>
        <w:t xml:space="preserve"> par la Commission européenne</w:t>
      </w:r>
      <w:r w:rsidR="002C3946">
        <w:t xml:space="preserve">, grâce à l’emploi d’une base de données payante. Il lui est ainsi possible de calculer annuellement la </w:t>
      </w:r>
      <w:hyperlink r:id="rId18" w:history="1">
        <w:r w:rsidR="002C3946" w:rsidRPr="002C3946">
          <w:rPr>
            <w:rStyle w:val="Lienhypertexte"/>
          </w:rPr>
          <w:t>part des TPE/PME</w:t>
        </w:r>
      </w:hyperlink>
      <w:r w:rsidR="002C3946">
        <w:t xml:space="preserve"> parmi ses titulaires de marchés.</w:t>
      </w:r>
    </w:p>
    <w:p w14:paraId="029CEE1A" w14:textId="759E4DB9" w:rsidR="009A2527" w:rsidRPr="00580EE4" w:rsidRDefault="00AE4653" w:rsidP="00580EE4">
      <w:pPr>
        <w:spacing w:after="120"/>
        <w:jc w:val="both"/>
      </w:pPr>
      <w:r>
        <w:t xml:space="preserve">Il ne s’agit pas de recommander le recours à des services payants pour analyser l’autonomie des candidats, cependant cela peut constituer une piste. Une autre piste peut être de </w:t>
      </w:r>
      <w:r w:rsidRPr="00580EE4">
        <w:rPr>
          <w:b/>
        </w:rPr>
        <w:t xml:space="preserve">demander </w:t>
      </w:r>
      <w:r w:rsidR="00580EE4" w:rsidRPr="00580EE4">
        <w:rPr>
          <w:b/>
        </w:rPr>
        <w:t xml:space="preserve">expressément </w:t>
      </w:r>
      <w:r w:rsidRPr="00580EE4">
        <w:rPr>
          <w:b/>
        </w:rPr>
        <w:t>aux candidats</w:t>
      </w:r>
      <w:r>
        <w:t xml:space="preserve"> </w:t>
      </w:r>
      <w:r w:rsidR="00580EE4">
        <w:t xml:space="preserve">d’indiquer s’ils des tiers détiennent </w:t>
      </w:r>
      <w:r w:rsidR="00580EE4" w:rsidRPr="00580EE4">
        <w:t xml:space="preserve">plus de 25 % du capital ou des droits de vote </w:t>
      </w:r>
      <w:r w:rsidR="00580EE4">
        <w:t xml:space="preserve"> de leur entreprises (au lieu de renvoyer génériquement les candidats vers la recommandation européenne de 2003</w:t>
      </w:r>
      <w:r w:rsidR="0061217A">
        <w:t>, qui n’est pas nécessairement bien connue</w:t>
      </w:r>
      <w:r w:rsidR="00580EE4">
        <w:t xml:space="preserve">). </w:t>
      </w:r>
      <w:r w:rsidR="009A2527">
        <w:br w:type="page"/>
      </w:r>
    </w:p>
    <w:p w14:paraId="4AC61EE8" w14:textId="2FF5BCE8" w:rsidR="00012F80" w:rsidRDefault="00012F80" w:rsidP="00012F80">
      <w:pPr>
        <w:pStyle w:val="Titre"/>
        <w:jc w:val="center"/>
      </w:pPr>
      <w:r>
        <w:lastRenderedPageBreak/>
        <w:t>Partie 1 : Préparation de la procédure de passation</w:t>
      </w:r>
    </w:p>
    <w:p w14:paraId="37705335" w14:textId="28F199C5" w:rsidR="00191A44" w:rsidRDefault="00FB64E9" w:rsidP="00476A7E">
      <w:pPr>
        <w:pStyle w:val="Titre1"/>
      </w:pPr>
      <w:bookmarkStart w:id="5" w:name="_Fiche_1_:"/>
      <w:bookmarkStart w:id="6" w:name="_Toc7425922"/>
      <w:bookmarkEnd w:id="5"/>
      <w:r>
        <w:t xml:space="preserve">Fiche 1 : </w:t>
      </w:r>
      <w:bookmarkEnd w:id="4"/>
      <w:r w:rsidR="002429F6">
        <w:t>A</w:t>
      </w:r>
      <w:r w:rsidR="00C66478">
        <w:t>nalyse</w:t>
      </w:r>
      <w:r w:rsidR="009806A0">
        <w:t>r</w:t>
      </w:r>
      <w:r w:rsidR="002429F6">
        <w:t xml:space="preserve"> </w:t>
      </w:r>
      <w:r w:rsidR="009806A0">
        <w:t>et definir l</w:t>
      </w:r>
      <w:r>
        <w:t>es besoins</w:t>
      </w:r>
      <w:bookmarkEnd w:id="6"/>
      <w:r w:rsidR="009806A0">
        <w:t xml:space="preserve"> </w:t>
      </w:r>
    </w:p>
    <w:p w14:paraId="47C11951" w14:textId="639AD020" w:rsidR="00C66478" w:rsidRDefault="00C66478" w:rsidP="00C66478">
      <w:pPr>
        <w:spacing w:after="120"/>
        <w:jc w:val="both"/>
        <w:rPr>
          <w:szCs w:val="24"/>
        </w:rPr>
      </w:pPr>
      <w:r w:rsidRPr="0094022F">
        <w:rPr>
          <w:szCs w:val="24"/>
        </w:rPr>
        <w:t xml:space="preserve">Une </w:t>
      </w:r>
      <w:r w:rsidRPr="00290573">
        <w:rPr>
          <w:szCs w:val="24"/>
        </w:rPr>
        <w:t>bonne analyse du besoin</w:t>
      </w:r>
      <w:r w:rsidRPr="00281868">
        <w:rPr>
          <w:b/>
          <w:szCs w:val="24"/>
        </w:rPr>
        <w:t xml:space="preserve"> </w:t>
      </w:r>
      <w:r w:rsidRPr="0094022F">
        <w:rPr>
          <w:szCs w:val="24"/>
        </w:rPr>
        <w:t>et, par suite, sa définition dans les documents de la consultation sont une garantie de la bonne compréhension et donc de la bonne exécution du marché public par le futur titulair</w:t>
      </w:r>
      <w:r w:rsidR="00290573">
        <w:rPr>
          <w:szCs w:val="24"/>
        </w:rPr>
        <w:t xml:space="preserve">e. En ce sens, elles sont la </w:t>
      </w:r>
      <w:r w:rsidR="00290573" w:rsidRPr="00290573">
        <w:rPr>
          <w:b/>
          <w:szCs w:val="24"/>
        </w:rPr>
        <w:t>clé</w:t>
      </w:r>
      <w:r w:rsidRPr="00290573">
        <w:rPr>
          <w:b/>
          <w:szCs w:val="24"/>
        </w:rPr>
        <w:t xml:space="preserve"> d’un achat réussi</w:t>
      </w:r>
      <w:r w:rsidRPr="0094022F">
        <w:rPr>
          <w:szCs w:val="24"/>
        </w:rPr>
        <w:t xml:space="preserve"> et ne constituent pas une simple formalité juridique. </w:t>
      </w:r>
    </w:p>
    <w:p w14:paraId="2358BD67" w14:textId="27CF5477" w:rsidR="00D70029" w:rsidRPr="0094022F" w:rsidRDefault="00D70029" w:rsidP="00C66478">
      <w:pPr>
        <w:spacing w:after="120"/>
        <w:jc w:val="both"/>
        <w:rPr>
          <w:szCs w:val="24"/>
        </w:rPr>
      </w:pPr>
      <w:r>
        <w:t xml:space="preserve">La mise en œuvre d’une </w:t>
      </w:r>
      <w:r w:rsidRPr="00D70029">
        <w:rPr>
          <w:b/>
        </w:rPr>
        <w:t>planification des achats</w:t>
      </w:r>
      <w:r>
        <w:t xml:space="preserve"> </w:t>
      </w:r>
      <w:r w:rsidRPr="00861E0F">
        <w:t xml:space="preserve">permet aux structures publiques de </w:t>
      </w:r>
      <w:r w:rsidRPr="00D70029">
        <w:t>mieux piloter le renouvellement ou le lancement de nouvelles procédures</w:t>
      </w:r>
      <w:r>
        <w:t>, en anticipant le temps nécessaire à la réévaluation des  besoins, à la prise en compte des évolutions du marché et notamment des innovations, à l’intégration de considérations environnementales / sociales, etc. Elle contribue également à donner de la visibilité aux opérateurs économiques</w:t>
      </w:r>
      <w:r w:rsidR="00E96341">
        <w:t xml:space="preserve"> </w:t>
      </w:r>
      <w:r>
        <w:t xml:space="preserve">et participe de </w:t>
      </w:r>
      <w:r w:rsidRPr="00D70029">
        <w:t>l’attractivité de la commande publique</w:t>
      </w:r>
      <w:r>
        <w:t>.</w:t>
      </w:r>
    </w:p>
    <w:p w14:paraId="55F50D2B" w14:textId="49E97F96" w:rsidR="00C66478" w:rsidRPr="0094022F" w:rsidRDefault="001A4914" w:rsidP="00AF67E3">
      <w:pPr>
        <w:spacing w:after="120"/>
        <w:jc w:val="both"/>
        <w:rPr>
          <w:szCs w:val="24"/>
        </w:rPr>
      </w:pPr>
      <w:r>
        <w:rPr>
          <w:szCs w:val="24"/>
        </w:rPr>
        <w:t>Pour une procédure donnée, l</w:t>
      </w:r>
      <w:r w:rsidR="00C66478" w:rsidRPr="0094022F">
        <w:rPr>
          <w:szCs w:val="24"/>
        </w:rPr>
        <w:t>’analyse de l’acheteur doit notamment permettre de déterminer</w:t>
      </w:r>
      <w:r w:rsidR="00D52CD9">
        <w:rPr>
          <w:szCs w:val="24"/>
        </w:rPr>
        <w:t xml:space="preserve"> les éléments suivants</w:t>
      </w:r>
      <w:r w:rsidR="00C66478" w:rsidRPr="0094022F">
        <w:rPr>
          <w:szCs w:val="24"/>
        </w:rPr>
        <w:t xml:space="preserve"> : la nature du besoin (récurrent, ponctuel, urgent, standard, spécifique), les quantités et leur fréquence, la valeur estimée (montant HT total), les spécifications techniques. Tous ces éléments sont nécessaires </w:t>
      </w:r>
      <w:r w:rsidR="00D52CD9">
        <w:rPr>
          <w:szCs w:val="24"/>
        </w:rPr>
        <w:t xml:space="preserve">au </w:t>
      </w:r>
      <w:r w:rsidR="00D52CD9" w:rsidRPr="00D52CD9">
        <w:rPr>
          <w:b/>
          <w:szCs w:val="24"/>
        </w:rPr>
        <w:t xml:space="preserve">choix </w:t>
      </w:r>
      <w:r w:rsidR="00C66478" w:rsidRPr="00D52CD9">
        <w:rPr>
          <w:b/>
          <w:szCs w:val="24"/>
        </w:rPr>
        <w:t>de la procédure et de la publicité adéquates</w:t>
      </w:r>
      <w:r w:rsidR="00C66478" w:rsidRPr="0094022F">
        <w:rPr>
          <w:szCs w:val="24"/>
        </w:rPr>
        <w:t xml:space="preserve">. </w:t>
      </w:r>
    </w:p>
    <w:p w14:paraId="026992B2" w14:textId="1619A410" w:rsidR="00A16FB1" w:rsidRDefault="00C66478" w:rsidP="00873DDB">
      <w:pPr>
        <w:spacing w:before="0" w:after="120"/>
        <w:jc w:val="both"/>
        <w:rPr>
          <w:szCs w:val="24"/>
        </w:rPr>
      </w:pPr>
      <w:r w:rsidRPr="0094022F">
        <w:rPr>
          <w:szCs w:val="24"/>
        </w:rPr>
        <w:t xml:space="preserve">Lors de cette phase préalable, l’acheteur peut réaliser un </w:t>
      </w:r>
      <w:r w:rsidRPr="00C66478">
        <w:rPr>
          <w:szCs w:val="24"/>
        </w:rPr>
        <w:t xml:space="preserve">sourcing </w:t>
      </w:r>
      <w:r>
        <w:rPr>
          <w:szCs w:val="24"/>
        </w:rPr>
        <w:t>des</w:t>
      </w:r>
      <w:r w:rsidRPr="0094022F">
        <w:rPr>
          <w:szCs w:val="24"/>
        </w:rPr>
        <w:t xml:space="preserve"> </w:t>
      </w:r>
      <w:r w:rsidR="00A16FB1">
        <w:rPr>
          <w:szCs w:val="24"/>
        </w:rPr>
        <w:t xml:space="preserve">solutions et des </w:t>
      </w:r>
      <w:r w:rsidRPr="0094022F">
        <w:rPr>
          <w:szCs w:val="24"/>
        </w:rPr>
        <w:t>fournisseurs</w:t>
      </w:r>
      <w:r>
        <w:rPr>
          <w:szCs w:val="24"/>
        </w:rPr>
        <w:t xml:space="preserve"> potentiels. </w:t>
      </w:r>
    </w:p>
    <w:p w14:paraId="20DD3D62" w14:textId="272D7621" w:rsidR="00FB64E9" w:rsidRPr="00C66478" w:rsidRDefault="00C66478" w:rsidP="00873DDB">
      <w:pPr>
        <w:spacing w:before="0" w:after="120"/>
        <w:jc w:val="both"/>
        <w:rPr>
          <w:szCs w:val="24"/>
        </w:rPr>
      </w:pPr>
      <w:r>
        <w:rPr>
          <w:szCs w:val="24"/>
        </w:rPr>
        <w:t xml:space="preserve">Il </w:t>
      </w:r>
      <w:r w:rsidRPr="00C66478">
        <w:rPr>
          <w:szCs w:val="24"/>
        </w:rPr>
        <w:t>traduit ensuite le besoin dans un document contractuel, le cahier des clauses techniques particulières (CCTP)</w:t>
      </w:r>
      <w:r w:rsidR="00B72159">
        <w:rPr>
          <w:szCs w:val="24"/>
        </w:rPr>
        <w:t xml:space="preserve"> par exemple</w:t>
      </w:r>
      <w:r w:rsidRPr="00C66478">
        <w:rPr>
          <w:szCs w:val="24"/>
        </w:rPr>
        <w:t>, auquel les opérateurs économiques sont tenus de se conformer.</w:t>
      </w:r>
    </w:p>
    <w:p w14:paraId="00DCA367" w14:textId="7F47F3A6" w:rsidR="00980CC5" w:rsidRPr="009D3743" w:rsidRDefault="009806A0" w:rsidP="00AF67E3">
      <w:pPr>
        <w:pStyle w:val="Titre2"/>
        <w:spacing w:before="240" w:after="240"/>
      </w:pPr>
      <w:bookmarkStart w:id="7" w:name="_Sourcing"/>
      <w:bookmarkStart w:id="8" w:name="_Toc2867177"/>
      <w:bookmarkStart w:id="9" w:name="_Toc7425923"/>
      <w:bookmarkEnd w:id="7"/>
      <w:r>
        <w:t>Le s</w:t>
      </w:r>
      <w:r w:rsidR="00980CC5" w:rsidRPr="009D3743">
        <w:t>ourcing</w:t>
      </w:r>
      <w:bookmarkEnd w:id="8"/>
      <w:r>
        <w:t>, un outil de connaissance du marche</w:t>
      </w:r>
      <w:bookmarkEnd w:id="9"/>
      <w:r w:rsidR="00394B6B">
        <w:t xml:space="preserve"> ECONOMIQUE</w:t>
      </w:r>
    </w:p>
    <w:p w14:paraId="3EE5A4B3" w14:textId="0B56965B" w:rsidR="00F40367" w:rsidRDefault="00F40367" w:rsidP="00EC69D6">
      <w:pPr>
        <w:spacing w:after="120"/>
        <w:jc w:val="both"/>
      </w:pPr>
      <w:r>
        <w:t xml:space="preserve">Longtemps pratiqué « timidement » par les acheteurs publics, car </w:t>
      </w:r>
      <w:r w:rsidR="0043736B">
        <w:t xml:space="preserve">souvent </w:t>
      </w:r>
      <w:r>
        <w:t xml:space="preserve">considéré comme une rupture dans l’égalité de traitement des entreprises, le sourcing est désormais encouragé par le droit européen et par le droit national, </w:t>
      </w:r>
      <w:r w:rsidRPr="00F40367">
        <w:t>dans une logique de plus grande performance économique</w:t>
      </w:r>
      <w:r>
        <w:t xml:space="preserve"> de la commande publique.</w:t>
      </w:r>
    </w:p>
    <w:p w14:paraId="04641F6D" w14:textId="6E0A3B2E" w:rsidR="00B12BB1" w:rsidRPr="003E16A0" w:rsidRDefault="00922262" w:rsidP="00075BA6">
      <w:pPr>
        <w:spacing w:after="120"/>
        <w:ind w:left="227" w:right="227"/>
        <w:jc w:val="both"/>
        <w:rPr>
          <w:szCs w:val="23"/>
        </w:rPr>
      </w:pPr>
      <w:r w:rsidRPr="00922262">
        <w:rPr>
          <w:rStyle w:val="Lienhypertexte"/>
          <w:noProof/>
          <w:szCs w:val="23"/>
          <w:lang w:eastAsia="fr-FR"/>
        </w:rPr>
        <w:drawing>
          <wp:anchor distT="0" distB="0" distL="114300" distR="114300" simplePos="0" relativeHeight="251745280" behindDoc="0" locked="0" layoutInCell="1" allowOverlap="1" wp14:anchorId="6F3604C6" wp14:editId="4521A5E8">
            <wp:simplePos x="0" y="0"/>
            <wp:positionH relativeFrom="column">
              <wp:posOffset>144001</wp:posOffset>
            </wp:positionH>
            <wp:positionV relativeFrom="paragraph">
              <wp:posOffset>4074</wp:posOffset>
            </wp:positionV>
            <wp:extent cx="345057" cy="345057"/>
            <wp:effectExtent l="0" t="0" r="0" b="0"/>
            <wp:wrapSquare wrapText="bothSides"/>
            <wp:docPr id="15" name="Image 15" descr="K:\1ESD\1C\COMMUN1C\06. OECP\3 - GT OECP\GT_acces-TPE-PME\Projet de guide\Icônes\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1ESD\1C\COMMUN1C\06. OECP\3 - GT OECP\GT_acces-TPE-PME\Projet de guide\Icônes\book.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H="1">
                      <a:off x="0" y="0"/>
                      <a:ext cx="345057" cy="345057"/>
                    </a:xfrm>
                    <a:prstGeom prst="rect">
                      <a:avLst/>
                    </a:prstGeom>
                    <a:noFill/>
                    <a:ln>
                      <a:noFill/>
                    </a:ln>
                  </pic:spPr>
                </pic:pic>
              </a:graphicData>
            </a:graphic>
          </wp:anchor>
        </w:drawing>
      </w:r>
      <w:hyperlink r:id="rId20" w:history="1">
        <w:r w:rsidR="00B12BB1" w:rsidRPr="003E16A0">
          <w:rPr>
            <w:rStyle w:val="Lienhypertexte"/>
            <w:szCs w:val="23"/>
          </w:rPr>
          <w:t>Article R</w:t>
        </w:r>
        <w:r w:rsidR="00610259">
          <w:rPr>
            <w:rStyle w:val="Lienhypertexte"/>
            <w:szCs w:val="23"/>
          </w:rPr>
          <w:t>2111-1 du code de la commande publique</w:t>
        </w:r>
      </w:hyperlink>
      <w:r w:rsidR="00B12BB1" w:rsidRPr="003E16A0">
        <w:rPr>
          <w:szCs w:val="23"/>
        </w:rPr>
        <w:t xml:space="preserve"> </w:t>
      </w:r>
      <w:r w:rsidR="00297AB8">
        <w:rPr>
          <w:szCs w:val="23"/>
        </w:rPr>
        <w:t>(CCP)</w:t>
      </w:r>
      <w:r w:rsidR="00B12BB1" w:rsidRPr="003E16A0">
        <w:rPr>
          <w:szCs w:val="23"/>
        </w:rPr>
        <w:t>: « </w:t>
      </w:r>
      <w:r w:rsidR="00B12BB1" w:rsidRPr="003E16A0">
        <w:rPr>
          <w:i/>
          <w:szCs w:val="23"/>
        </w:rPr>
        <w:t>afin de préparer la passation d’un marché public, l’acheteur peut effectuer des consultations ou réaliser des études de marché, solliciter des avis ou informer les opérateurs économiques de son projet et de ses exigences. Les résultats de ces études et échanges préalables peuvent être utilisés par l'acheteur, à condition qu'ils n'aient pas pour effet de fausser la concurrence et n'entraînent pas une violation des principes de liberté d'accès à la commande publique, d'égalité de traitement des candidats et de transparence des procédures. </w:t>
      </w:r>
      <w:r w:rsidR="00B12BB1" w:rsidRPr="003E16A0">
        <w:rPr>
          <w:szCs w:val="23"/>
        </w:rPr>
        <w:t>»</w:t>
      </w:r>
    </w:p>
    <w:p w14:paraId="48CFE4DC" w14:textId="0052464B" w:rsidR="00B91524" w:rsidRDefault="00E45CF7" w:rsidP="00ED7425">
      <w:pPr>
        <w:tabs>
          <w:tab w:val="left" w:pos="426"/>
          <w:tab w:val="left" w:pos="2697"/>
        </w:tabs>
        <w:spacing w:after="120"/>
        <w:jc w:val="both"/>
        <w:rPr>
          <w:rFonts w:eastAsia="Times New Roman"/>
          <w:szCs w:val="22"/>
        </w:rPr>
      </w:pPr>
      <w:r>
        <w:rPr>
          <w:rFonts w:eastAsia="Times New Roman"/>
          <w:szCs w:val="22"/>
        </w:rPr>
        <w:t>En pratique, l</w:t>
      </w:r>
      <w:r w:rsidR="00980CC5" w:rsidRPr="00980CC5">
        <w:rPr>
          <w:rFonts w:eastAsia="Times New Roman"/>
          <w:szCs w:val="22"/>
        </w:rPr>
        <w:t xml:space="preserve">e sourcing </w:t>
      </w:r>
      <w:r w:rsidR="00B91524">
        <w:rPr>
          <w:rFonts w:eastAsia="Times New Roman"/>
          <w:szCs w:val="22"/>
        </w:rPr>
        <w:t>(</w:t>
      </w:r>
      <w:r w:rsidR="00980CC5" w:rsidRPr="00980CC5">
        <w:rPr>
          <w:rFonts w:eastAsia="Times New Roman"/>
          <w:szCs w:val="22"/>
        </w:rPr>
        <w:t>ou sourçage</w:t>
      </w:r>
      <w:r w:rsidR="00B91524">
        <w:rPr>
          <w:rFonts w:eastAsia="Times New Roman"/>
          <w:szCs w:val="22"/>
        </w:rPr>
        <w:t>)</w:t>
      </w:r>
      <w:r w:rsidR="00980CC5" w:rsidRPr="00980CC5">
        <w:rPr>
          <w:rFonts w:eastAsia="Times New Roman"/>
          <w:szCs w:val="22"/>
        </w:rPr>
        <w:t xml:space="preserve"> correspond aux actions réalisées par un acheteur afin d'</w:t>
      </w:r>
      <w:r w:rsidR="00980CC5" w:rsidRPr="00B91524">
        <w:rPr>
          <w:rFonts w:eastAsia="Times New Roman"/>
          <w:b/>
          <w:szCs w:val="22"/>
        </w:rPr>
        <w:t xml:space="preserve">identifier les solutions et fournisseurs susceptibles de répondre à son besoin </w:t>
      </w:r>
      <w:r w:rsidR="002850D0">
        <w:rPr>
          <w:rFonts w:eastAsia="Times New Roman"/>
          <w:szCs w:val="22"/>
        </w:rPr>
        <w:t xml:space="preserve">avant </w:t>
      </w:r>
      <w:r w:rsidR="00980CC5" w:rsidRPr="00CC6E16">
        <w:rPr>
          <w:rFonts w:eastAsia="Times New Roman"/>
          <w:szCs w:val="22"/>
        </w:rPr>
        <w:t>une consultation</w:t>
      </w:r>
      <w:r w:rsidR="00B91524">
        <w:rPr>
          <w:rFonts w:eastAsia="Times New Roman"/>
          <w:szCs w:val="22"/>
        </w:rPr>
        <w:t xml:space="preserve"> ou dans un cadre plus largement prospectif</w:t>
      </w:r>
      <w:r w:rsidR="00980CC5" w:rsidRPr="00980CC5">
        <w:rPr>
          <w:rFonts w:eastAsia="Times New Roman"/>
          <w:szCs w:val="22"/>
        </w:rPr>
        <w:t xml:space="preserve">. Il s'agit </w:t>
      </w:r>
      <w:r w:rsidR="00B91524">
        <w:rPr>
          <w:rFonts w:eastAsia="Times New Roman"/>
          <w:szCs w:val="22"/>
        </w:rPr>
        <w:t xml:space="preserve">donc </w:t>
      </w:r>
      <w:r w:rsidR="00980CC5" w:rsidRPr="00980CC5">
        <w:rPr>
          <w:rFonts w:eastAsia="Times New Roman"/>
          <w:szCs w:val="22"/>
        </w:rPr>
        <w:t xml:space="preserve">d'une </w:t>
      </w:r>
      <w:r w:rsidR="00980CC5" w:rsidRPr="00B91524">
        <w:rPr>
          <w:rFonts w:eastAsia="Times New Roman"/>
          <w:szCs w:val="22"/>
        </w:rPr>
        <w:t>démarche proactive de recherche et d’évaluation des opérateurs économiques d’un secteur</w:t>
      </w:r>
      <w:r w:rsidR="00980CC5" w:rsidRPr="00980CC5">
        <w:rPr>
          <w:rFonts w:eastAsia="Times New Roman"/>
          <w:szCs w:val="22"/>
        </w:rPr>
        <w:t xml:space="preserve">, ainsi que leur mise en relation avec des acheteurs. </w:t>
      </w:r>
    </w:p>
    <w:p w14:paraId="5CEAEAA9" w14:textId="13D2DA75" w:rsidR="004453F8" w:rsidRDefault="004453F8" w:rsidP="00C409A0">
      <w:pPr>
        <w:spacing w:after="120"/>
        <w:jc w:val="both"/>
      </w:pPr>
      <w:r w:rsidRPr="004453F8">
        <w:rPr>
          <w:noProof/>
          <w:lang w:eastAsia="fr-FR"/>
        </w:rPr>
        <w:drawing>
          <wp:anchor distT="0" distB="0" distL="114300" distR="114300" simplePos="0" relativeHeight="251698176" behindDoc="0" locked="0" layoutInCell="1" allowOverlap="1" wp14:anchorId="5979D9D7" wp14:editId="75035DD1">
            <wp:simplePos x="0" y="0"/>
            <wp:positionH relativeFrom="margin">
              <wp:posOffset>29845</wp:posOffset>
            </wp:positionH>
            <wp:positionV relativeFrom="paragraph">
              <wp:posOffset>6985</wp:posOffset>
            </wp:positionV>
            <wp:extent cx="357505" cy="357505"/>
            <wp:effectExtent l="0" t="0" r="4445" b="4445"/>
            <wp:wrapSquare wrapText="bothSides"/>
            <wp:docPr id="27" name="Image 27" descr="C:\Users\schleilat-adc\Downloads\war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chleilat-adc\Downloads\warning.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53F8">
        <w:t xml:space="preserve">Il convient dès à présent d’indiquer que le sourcing se situe </w:t>
      </w:r>
      <w:r w:rsidRPr="004453F8">
        <w:rPr>
          <w:b/>
        </w:rPr>
        <w:t>en amont de toute procédure</w:t>
      </w:r>
      <w:r w:rsidRPr="004453F8">
        <w:t xml:space="preserve"> de</w:t>
      </w:r>
      <w:r w:rsidR="00FD271A">
        <w:t xml:space="preserve"> passation d’un</w:t>
      </w:r>
      <w:r w:rsidRPr="004453F8">
        <w:t xml:space="preserve"> marché public et qu’il n’a donc pas vocation à être trop structuré, notamment par la mise en œuvre d’un formalisme excessif</w:t>
      </w:r>
      <w:r w:rsidR="00791173">
        <w:t>, qui</w:t>
      </w:r>
      <w:r w:rsidRPr="004453F8">
        <w:t xml:space="preserve"> serait </w:t>
      </w:r>
      <w:r w:rsidR="000A1E7C">
        <w:t>c</w:t>
      </w:r>
      <w:r w:rsidRPr="004453F8">
        <w:t>ontraire à l’objectif poursuivi, c’est-à-dire favoriser les échanges</w:t>
      </w:r>
      <w:r w:rsidR="00791173">
        <w:t xml:space="preserve"> pour parfaire </w:t>
      </w:r>
      <w:r w:rsidR="00F85CE0">
        <w:t>la connaissance d</w:t>
      </w:r>
      <w:r w:rsidR="00E7656F">
        <w:t>u marché</w:t>
      </w:r>
      <w:r w:rsidR="0043736B">
        <w:t xml:space="preserve"> économique</w:t>
      </w:r>
      <w:r w:rsidR="00E7656F">
        <w:t>.</w:t>
      </w:r>
    </w:p>
    <w:p w14:paraId="4268D874" w14:textId="32F90A75" w:rsidR="00B91524" w:rsidRDefault="00E27EB4" w:rsidP="00C409A0">
      <w:pPr>
        <w:spacing w:after="120"/>
        <w:jc w:val="both"/>
        <w:rPr>
          <w:rFonts w:eastAsia="Times New Roman"/>
          <w:szCs w:val="22"/>
        </w:rPr>
      </w:pPr>
      <w:r w:rsidRPr="00E27EB4">
        <w:rPr>
          <w:rFonts w:eastAsia="Times New Roman"/>
          <w:szCs w:val="22"/>
        </w:rPr>
        <w:t xml:space="preserve">Au contact des entreprises, l’acheteur sera en mesure de </w:t>
      </w:r>
      <w:r w:rsidRPr="000C6816">
        <w:rPr>
          <w:rFonts w:eastAsia="Times New Roman"/>
          <w:b/>
          <w:szCs w:val="22"/>
        </w:rPr>
        <w:t>vérifier que ses exigences</w:t>
      </w:r>
      <w:r w:rsidRPr="00E27EB4">
        <w:rPr>
          <w:rFonts w:eastAsia="Times New Roman"/>
          <w:szCs w:val="22"/>
        </w:rPr>
        <w:t xml:space="preserve"> en termes de qualité, coûts, délais, performan</w:t>
      </w:r>
      <w:r w:rsidR="000C6816">
        <w:rPr>
          <w:rFonts w:eastAsia="Times New Roman"/>
          <w:szCs w:val="22"/>
        </w:rPr>
        <w:t>ce environnementale ou sociale</w:t>
      </w:r>
      <w:r w:rsidRPr="00E27EB4">
        <w:rPr>
          <w:rFonts w:eastAsia="Times New Roman"/>
          <w:szCs w:val="22"/>
        </w:rPr>
        <w:t xml:space="preserve">, etc. </w:t>
      </w:r>
      <w:r w:rsidRPr="000C6816">
        <w:rPr>
          <w:rFonts w:eastAsia="Times New Roman"/>
          <w:b/>
          <w:szCs w:val="22"/>
        </w:rPr>
        <w:t>sont proportionnées</w:t>
      </w:r>
      <w:r w:rsidRPr="00E27EB4">
        <w:rPr>
          <w:rFonts w:eastAsia="Times New Roman"/>
          <w:szCs w:val="22"/>
        </w:rPr>
        <w:t xml:space="preserve"> par rapport aux capacités et aux contraintes du secteur concerné, qui </w:t>
      </w:r>
      <w:r w:rsidR="00F01116">
        <w:rPr>
          <w:rFonts w:eastAsia="Times New Roman"/>
          <w:szCs w:val="22"/>
        </w:rPr>
        <w:t>peuvent évoluer</w:t>
      </w:r>
      <w:r w:rsidRPr="00E27EB4">
        <w:rPr>
          <w:rFonts w:eastAsia="Times New Roman"/>
          <w:szCs w:val="22"/>
        </w:rPr>
        <w:t>. En appréhendant le modèle économique des fournisseurs et en adaptant le cas échéant la structure contractuelle du futur marché, l’acheteur limitera le risque d’inadéquation de l’offre et de la demande et donc de coûts trop élevés, de sur-qualité ou d’infructuosité.</w:t>
      </w:r>
    </w:p>
    <w:p w14:paraId="5CA8CA3A" w14:textId="77777777" w:rsidR="00E7656F" w:rsidRPr="00E27EB4" w:rsidRDefault="00B91524" w:rsidP="001A0B88">
      <w:pPr>
        <w:spacing w:after="120"/>
        <w:jc w:val="both"/>
      </w:pPr>
      <w:r w:rsidRPr="00E27EB4">
        <w:lastRenderedPageBreak/>
        <w:t xml:space="preserve">Si la réglementation </w:t>
      </w:r>
      <w:r w:rsidR="00412178" w:rsidRPr="00E27EB4">
        <w:t xml:space="preserve">issue des nouveaux textes européens </w:t>
      </w:r>
      <w:r w:rsidRPr="00E27EB4">
        <w:t>est venue dans une certaine mesure consacrer la pratique, les modalités de consultation des entreprises (« avis », « études », « échanges préalables »…) ne sont</w:t>
      </w:r>
      <w:r w:rsidR="00252741" w:rsidRPr="00E27EB4">
        <w:t xml:space="preserve"> pas</w:t>
      </w:r>
      <w:r w:rsidRPr="00E27EB4">
        <w:t xml:space="preserve"> plus amplement définies</w:t>
      </w:r>
      <w:r w:rsidR="00D629DA" w:rsidRPr="00E27EB4">
        <w:t>, étant hors champ procédural</w:t>
      </w:r>
      <w:r w:rsidRPr="00E27EB4">
        <w:t xml:space="preserve">. </w:t>
      </w:r>
    </w:p>
    <w:p w14:paraId="6B09B9CE" w14:textId="5262E7BD" w:rsidR="00B91524" w:rsidRDefault="00B91524" w:rsidP="001A0B88">
      <w:pPr>
        <w:pStyle w:val="Encart"/>
        <w:spacing w:before="0" w:after="120" w:line="276" w:lineRule="auto"/>
      </w:pPr>
      <w:r w:rsidRPr="00B91524">
        <w:rPr>
          <w:b/>
        </w:rPr>
        <w:t xml:space="preserve">L’acheteur est donc libre d’établir son propre mode opératoire </w:t>
      </w:r>
      <w:r w:rsidRPr="00642A07">
        <w:t>en fonction des moyens et du temps dont il dispose</w:t>
      </w:r>
      <w:r w:rsidR="00642A07">
        <w:t xml:space="preserve"> et</w:t>
      </w:r>
      <w:r w:rsidRPr="00642A07">
        <w:t xml:space="preserve"> </w:t>
      </w:r>
      <w:r w:rsidRPr="00BB5DF3">
        <w:t>dans le respect des principes fondamentaux de la commande publique</w:t>
      </w:r>
      <w:r w:rsidRPr="00130466">
        <w:rPr>
          <w:b/>
        </w:rPr>
        <w:t>.</w:t>
      </w:r>
      <w:r w:rsidRPr="00B91524">
        <w:t xml:space="preserve"> </w:t>
      </w:r>
    </w:p>
    <w:p w14:paraId="31B31A93" w14:textId="405738C7" w:rsidR="006D3BAB" w:rsidRDefault="0042696E" w:rsidP="000C6816">
      <w:pPr>
        <w:spacing w:after="180"/>
        <w:jc w:val="both"/>
      </w:pPr>
      <w:r>
        <w:t xml:space="preserve">Cette liberté concerne tant le </w:t>
      </w:r>
      <w:r w:rsidR="00252741">
        <w:t xml:space="preserve">champ </w:t>
      </w:r>
      <w:r>
        <w:t>des fournisseurs à cons</w:t>
      </w:r>
      <w:r w:rsidR="00252741">
        <w:t>ulter</w:t>
      </w:r>
      <w:r>
        <w:t xml:space="preserve"> que les modalités d</w:t>
      </w:r>
      <w:r w:rsidR="00252741">
        <w:t>’</w:t>
      </w:r>
      <w:r w:rsidR="00477324">
        <w:t>échanges (ex : réunions publiques, entretiens individuels, participation à des salons, demande d’informations…)</w:t>
      </w:r>
      <w:r>
        <w:t>. Elle concerne également les délais, la publicité et la traçabili</w:t>
      </w:r>
      <w:r w:rsidR="00477324">
        <w:t xml:space="preserve">té, </w:t>
      </w:r>
      <w:r w:rsidR="00FD2DD3">
        <w:t>b</w:t>
      </w:r>
      <w:r w:rsidR="00252741">
        <w:t xml:space="preserve">ien que ces termes renvoient à des notions de procédure qui ne s’appliquent pas </w:t>
      </w:r>
      <w:r w:rsidR="00252741" w:rsidRPr="00252741">
        <w:rPr>
          <w:i/>
        </w:rPr>
        <w:t>stricto sensu</w:t>
      </w:r>
      <w:r w:rsidR="00252741">
        <w:t xml:space="preserve"> au sourcing</w:t>
      </w:r>
      <w:r w:rsidR="00FD2DD3">
        <w:t>.</w:t>
      </w:r>
    </w:p>
    <w:p w14:paraId="715D2F82" w14:textId="697DEB9D" w:rsidR="00FC0D02" w:rsidRDefault="00FC0D02" w:rsidP="00D52106">
      <w:pPr>
        <w:spacing w:before="0" w:after="120"/>
        <w:jc w:val="both"/>
      </w:pPr>
      <w:r w:rsidRPr="00FC0D02">
        <w:rPr>
          <w:b/>
        </w:rPr>
        <w:t>Conseils pratiques</w:t>
      </w:r>
      <w:r>
        <w:t xml:space="preserve"> : </w:t>
      </w:r>
    </w:p>
    <w:p w14:paraId="13AB5126" w14:textId="14EB5075" w:rsidR="0042696E" w:rsidRPr="00142ADA" w:rsidRDefault="006D739D" w:rsidP="00D52106">
      <w:pPr>
        <w:spacing w:after="120"/>
        <w:ind w:left="57"/>
        <w:jc w:val="both"/>
      </w:pPr>
      <w:r w:rsidRPr="00142ADA">
        <w:rPr>
          <w:noProof/>
          <w:lang w:eastAsia="fr-FR"/>
        </w:rPr>
        <w:drawing>
          <wp:anchor distT="0" distB="0" distL="114300" distR="114300" simplePos="0" relativeHeight="251659264" behindDoc="0" locked="0" layoutInCell="1" allowOverlap="1" wp14:anchorId="35E5CE11" wp14:editId="2DA696BC">
            <wp:simplePos x="0" y="0"/>
            <wp:positionH relativeFrom="margin">
              <wp:align>left</wp:align>
            </wp:positionH>
            <wp:positionV relativeFrom="paragraph">
              <wp:posOffset>6360</wp:posOffset>
            </wp:positionV>
            <wp:extent cx="405517" cy="368283"/>
            <wp:effectExtent l="0" t="0" r="0"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05517" cy="368283"/>
                    </a:xfrm>
                    <a:prstGeom prst="rect">
                      <a:avLst/>
                    </a:prstGeom>
                  </pic:spPr>
                </pic:pic>
              </a:graphicData>
            </a:graphic>
          </wp:anchor>
        </w:drawing>
      </w:r>
      <w:r w:rsidR="004E75E9" w:rsidRPr="00142ADA">
        <w:rPr>
          <w:color w:val="FF0000"/>
        </w:rPr>
        <w:t>Il n’existe pas de méthode universelle de sourcing, cependant q</w:t>
      </w:r>
      <w:r w:rsidR="0042696E" w:rsidRPr="00142ADA">
        <w:rPr>
          <w:color w:val="FF0000"/>
        </w:rPr>
        <w:t xml:space="preserve">uelques </w:t>
      </w:r>
      <w:r w:rsidR="00FC0D02" w:rsidRPr="00142ADA">
        <w:rPr>
          <w:color w:val="FF0000"/>
        </w:rPr>
        <w:t>recommandations</w:t>
      </w:r>
      <w:r w:rsidR="0042696E" w:rsidRPr="00142ADA">
        <w:rPr>
          <w:color w:val="FF0000"/>
        </w:rPr>
        <w:t xml:space="preserve"> peuvent être formulé</w:t>
      </w:r>
      <w:r w:rsidR="00FC0D02" w:rsidRPr="00142ADA">
        <w:rPr>
          <w:color w:val="FF0000"/>
        </w:rPr>
        <w:t>e</w:t>
      </w:r>
      <w:r w:rsidR="0042696E" w:rsidRPr="00142ADA">
        <w:rPr>
          <w:color w:val="FF0000"/>
        </w:rPr>
        <w:t>s</w:t>
      </w:r>
      <w:r w:rsidR="00104CC1" w:rsidRPr="00142ADA">
        <w:rPr>
          <w:color w:val="FF0000"/>
        </w:rPr>
        <w:t>, dans un esprit de transparence mais aussi de souplesse</w:t>
      </w:r>
      <w:r w:rsidR="00826FAC">
        <w:rPr>
          <w:color w:val="FF0000"/>
        </w:rPr>
        <w:t>, et à adapter selon l’objet</w:t>
      </w:r>
      <w:r w:rsidR="00826FAC" w:rsidRPr="00142ADA">
        <w:rPr>
          <w:color w:val="FF0000"/>
        </w:rPr>
        <w:t> </w:t>
      </w:r>
      <w:r w:rsidR="0042696E" w:rsidRPr="00826FAC">
        <w:rPr>
          <w:color w:val="FF0000"/>
        </w:rPr>
        <w:t>:</w:t>
      </w:r>
      <w:r w:rsidR="0042696E" w:rsidRPr="00142ADA">
        <w:t xml:space="preserve"> </w:t>
      </w:r>
    </w:p>
    <w:p w14:paraId="7970F797" w14:textId="5BAEC634" w:rsidR="00B61183" w:rsidRDefault="00497883" w:rsidP="00F22472">
      <w:pPr>
        <w:pStyle w:val="Paragraphedeliste"/>
        <w:numPr>
          <w:ilvl w:val="0"/>
          <w:numId w:val="1"/>
        </w:numPr>
        <w:spacing w:before="0" w:after="20"/>
        <w:contextualSpacing w:val="0"/>
        <w:jc w:val="both"/>
      </w:pPr>
      <w:r>
        <w:t>d</w:t>
      </w:r>
      <w:r w:rsidR="00B61183">
        <w:t xml:space="preserve">éfinir </w:t>
      </w:r>
      <w:r w:rsidR="00BE74E1">
        <w:t xml:space="preserve">en premier lieu </w:t>
      </w:r>
      <w:r w:rsidR="00B61183">
        <w:t xml:space="preserve">les </w:t>
      </w:r>
      <w:r w:rsidR="00B61183" w:rsidRPr="00BE74E1">
        <w:rPr>
          <w:u w:val="single"/>
        </w:rPr>
        <w:t>objectifs poursuivis</w:t>
      </w:r>
      <w:r w:rsidR="000C6816">
        <w:t xml:space="preserve"> par la démarche</w:t>
      </w:r>
      <w:r w:rsidR="00B61183">
        <w:t xml:space="preserve"> ; </w:t>
      </w:r>
    </w:p>
    <w:p w14:paraId="5DF8554F" w14:textId="5DFBF4E7" w:rsidR="008D5D67" w:rsidRDefault="00187C8A" w:rsidP="00F22472">
      <w:pPr>
        <w:pStyle w:val="Paragraphedeliste"/>
        <w:numPr>
          <w:ilvl w:val="0"/>
          <w:numId w:val="1"/>
        </w:numPr>
        <w:spacing w:before="0" w:after="20"/>
        <w:contextualSpacing w:val="0"/>
        <w:jc w:val="both"/>
      </w:pPr>
      <w:r>
        <w:t>a</w:t>
      </w:r>
      <w:r w:rsidR="00B958F3" w:rsidRPr="008E3349">
        <w:t xml:space="preserve">ssurer une </w:t>
      </w:r>
      <w:r w:rsidR="00B958F3" w:rsidRPr="00187C8A">
        <w:rPr>
          <w:u w:val="single"/>
        </w:rPr>
        <w:t>publicité</w:t>
      </w:r>
      <w:r w:rsidR="00BE74E1" w:rsidRPr="00BE74E1">
        <w:rPr>
          <w:u w:val="single"/>
        </w:rPr>
        <w:t xml:space="preserve"> </w:t>
      </w:r>
      <w:r w:rsidR="00B958F3" w:rsidRPr="00187C8A">
        <w:rPr>
          <w:u w:val="single"/>
        </w:rPr>
        <w:t>proportionnée</w:t>
      </w:r>
      <w:r w:rsidR="00B958F3" w:rsidRPr="008E3349">
        <w:t xml:space="preserve"> aux enjeux </w:t>
      </w:r>
      <w:r w:rsidR="00C8350B">
        <w:t xml:space="preserve">et au montant </w:t>
      </w:r>
      <w:r w:rsidR="00B958F3" w:rsidRPr="008E3349">
        <w:t>de la future consultation</w:t>
      </w:r>
      <w:r w:rsidR="000006E0" w:rsidRPr="008E3349">
        <w:t> </w:t>
      </w:r>
      <w:r w:rsidR="00C8350B">
        <w:t xml:space="preserve">(ex : </w:t>
      </w:r>
      <w:r w:rsidR="00104CC1">
        <w:t>aucune si faible enjeu, site institutionnel ou</w:t>
      </w:r>
      <w:r w:rsidR="00C8350B">
        <w:t xml:space="preserve"> profil d’acheteur, </w:t>
      </w:r>
      <w:r>
        <w:t xml:space="preserve">journal d’annonces légales, etc.) </w:t>
      </w:r>
      <w:r w:rsidR="000006E0" w:rsidRPr="008E3349">
        <w:t xml:space="preserve">; </w:t>
      </w:r>
    </w:p>
    <w:p w14:paraId="5AC21F8A" w14:textId="18F710A7" w:rsidR="006D3BAB" w:rsidRPr="008E3349" w:rsidRDefault="00187C8A" w:rsidP="00F22472">
      <w:pPr>
        <w:pStyle w:val="Paragraphedeliste"/>
        <w:numPr>
          <w:ilvl w:val="0"/>
          <w:numId w:val="1"/>
        </w:numPr>
        <w:spacing w:before="0" w:after="20"/>
        <w:contextualSpacing w:val="0"/>
        <w:jc w:val="both"/>
      </w:pPr>
      <w:r>
        <w:t>l</w:t>
      </w:r>
      <w:r w:rsidR="006D3BAB">
        <w:t xml:space="preserve">aisser un </w:t>
      </w:r>
      <w:r w:rsidR="006D3BAB" w:rsidRPr="00187C8A">
        <w:rPr>
          <w:u w:val="single"/>
        </w:rPr>
        <w:t xml:space="preserve">délai </w:t>
      </w:r>
      <w:r w:rsidR="00A557E1" w:rsidRPr="00187C8A">
        <w:rPr>
          <w:u w:val="single"/>
        </w:rPr>
        <w:t>r</w:t>
      </w:r>
      <w:r w:rsidR="006D3BAB" w:rsidRPr="00187C8A">
        <w:rPr>
          <w:u w:val="single"/>
        </w:rPr>
        <w:t>aisonnable</w:t>
      </w:r>
      <w:r w:rsidR="006D3BAB">
        <w:t xml:space="preserve"> aux opérateurs économiques pour se manifester </w:t>
      </w:r>
      <w:r>
        <w:t xml:space="preserve">(ex : un mois) </w:t>
      </w:r>
      <w:r w:rsidR="006D3BAB">
        <w:t xml:space="preserve">; </w:t>
      </w:r>
    </w:p>
    <w:p w14:paraId="16E3314B" w14:textId="7D00B11C" w:rsidR="00B958F3" w:rsidRDefault="00187C8A" w:rsidP="00F22472">
      <w:pPr>
        <w:pStyle w:val="Paragraphedeliste"/>
        <w:numPr>
          <w:ilvl w:val="0"/>
          <w:numId w:val="1"/>
        </w:numPr>
        <w:spacing w:before="0" w:after="20"/>
        <w:contextualSpacing w:val="0"/>
        <w:jc w:val="both"/>
      </w:pPr>
      <w:r>
        <w:t>s</w:t>
      </w:r>
      <w:r w:rsidR="00B958F3" w:rsidRPr="008E3349">
        <w:t xml:space="preserve">électionner un </w:t>
      </w:r>
      <w:r w:rsidR="00B958F3" w:rsidRPr="00187C8A">
        <w:rPr>
          <w:u w:val="single"/>
        </w:rPr>
        <w:t>panel représentatif de fournisseurs</w:t>
      </w:r>
      <w:r w:rsidR="00B958F3" w:rsidRPr="008E3349">
        <w:t xml:space="preserve"> </w:t>
      </w:r>
      <w:r w:rsidR="0091683A">
        <w:t xml:space="preserve">à </w:t>
      </w:r>
      <w:r w:rsidR="00BE74E1">
        <w:t xml:space="preserve">solliciter </w:t>
      </w:r>
      <w:r w:rsidR="00104CC1">
        <w:t xml:space="preserve">le cas échéant </w:t>
      </w:r>
      <w:r w:rsidR="000006E0" w:rsidRPr="008E3349">
        <w:t>(</w:t>
      </w:r>
      <w:r>
        <w:t>ex : PME / ETI /</w:t>
      </w:r>
      <w:r w:rsidR="000006E0" w:rsidRPr="008E3349">
        <w:t xml:space="preserve"> grandes entreprises</w:t>
      </w:r>
      <w:r>
        <w:t>, fournisseurs déjà connus / nouveaux entrants sur le marché</w:t>
      </w:r>
      <w:r w:rsidR="000006E0" w:rsidRPr="008E3349">
        <w:t xml:space="preserve">) ; </w:t>
      </w:r>
    </w:p>
    <w:p w14:paraId="4CAE57A2" w14:textId="57F80F93" w:rsidR="00AB1156" w:rsidRDefault="004C05A8" w:rsidP="00F22472">
      <w:pPr>
        <w:pStyle w:val="Paragraphedeliste"/>
        <w:numPr>
          <w:ilvl w:val="0"/>
          <w:numId w:val="1"/>
        </w:numPr>
        <w:spacing w:before="0" w:after="20"/>
        <w:contextualSpacing w:val="0"/>
        <w:jc w:val="both"/>
      </w:pPr>
      <w:r>
        <w:t xml:space="preserve">conduire les entretiens, réaliser les visites </w:t>
      </w:r>
      <w:r w:rsidR="0091683A">
        <w:t xml:space="preserve">de site </w:t>
      </w:r>
      <w:r>
        <w:t xml:space="preserve">dans le cadre d’une </w:t>
      </w:r>
      <w:r w:rsidRPr="004C05A8">
        <w:rPr>
          <w:u w:val="single"/>
        </w:rPr>
        <w:t>équipe</w:t>
      </w:r>
      <w:r w:rsidRPr="00565050">
        <w:t xml:space="preserve"> </w:t>
      </w:r>
      <w:r>
        <w:t>(acheteur, prescripteur, juriste, etc.</w:t>
      </w:r>
      <w:r w:rsidR="00C57ED1">
        <w:t>)</w:t>
      </w:r>
      <w:r w:rsidR="006D241E">
        <w:t xml:space="preserve"> et avec une répartition claire du rôle de chacun ;</w:t>
      </w:r>
      <w:r w:rsidR="00C57ED1">
        <w:t xml:space="preserve"> </w:t>
      </w:r>
    </w:p>
    <w:p w14:paraId="2612E62B" w14:textId="6AD50653" w:rsidR="004C05A8" w:rsidRPr="008E3349" w:rsidRDefault="00AB1156" w:rsidP="00F22472">
      <w:pPr>
        <w:pStyle w:val="Paragraphedeliste"/>
        <w:numPr>
          <w:ilvl w:val="0"/>
          <w:numId w:val="1"/>
        </w:numPr>
        <w:spacing w:before="0" w:after="20"/>
        <w:contextualSpacing w:val="0"/>
        <w:jc w:val="both"/>
      </w:pPr>
      <w:r>
        <w:t>refuser tous cadeaux (hors objets promotionnels de faible valeur)</w:t>
      </w:r>
      <w:r w:rsidR="00060EFE">
        <w:t xml:space="preserve"> ou avantages</w:t>
      </w:r>
      <w:r>
        <w:t xml:space="preserve"> et vérifier </w:t>
      </w:r>
      <w:r w:rsidR="00C57ED1">
        <w:t xml:space="preserve">qu’aucun des participant n’est concerné par un </w:t>
      </w:r>
      <w:r w:rsidR="00C57ED1" w:rsidRPr="00AB1156">
        <w:rPr>
          <w:u w:val="single"/>
        </w:rPr>
        <w:t>conflit d’intérêt potentiel</w:t>
      </w:r>
      <w:r w:rsidR="00C57ED1">
        <w:rPr>
          <w:rStyle w:val="Appelnotedebasdep"/>
        </w:rPr>
        <w:footnoteReference w:id="2"/>
      </w:r>
      <w:r w:rsidR="00C57ED1">
        <w:t xml:space="preserve"> ; </w:t>
      </w:r>
    </w:p>
    <w:p w14:paraId="7C88D0B7" w14:textId="2E263779" w:rsidR="008D5D67" w:rsidRDefault="00187C8A" w:rsidP="00F22472">
      <w:pPr>
        <w:pStyle w:val="Paragraphedeliste"/>
        <w:numPr>
          <w:ilvl w:val="0"/>
          <w:numId w:val="1"/>
        </w:numPr>
        <w:spacing w:before="0" w:after="20"/>
        <w:contextualSpacing w:val="0"/>
        <w:jc w:val="both"/>
      </w:pPr>
      <w:r>
        <w:t>a</w:t>
      </w:r>
      <w:r w:rsidR="00B958F3" w:rsidRPr="008E3349">
        <w:t xml:space="preserve">ssurer une </w:t>
      </w:r>
      <w:r w:rsidR="00B958F3" w:rsidRPr="00187C8A">
        <w:rPr>
          <w:u w:val="single"/>
        </w:rPr>
        <w:t>traçabilité</w:t>
      </w:r>
      <w:r w:rsidR="001915C0">
        <w:rPr>
          <w:u w:val="single"/>
        </w:rPr>
        <w:t xml:space="preserve"> minimale</w:t>
      </w:r>
      <w:r w:rsidR="00B958F3" w:rsidRPr="00187C8A">
        <w:rPr>
          <w:u w:val="single"/>
        </w:rPr>
        <w:t xml:space="preserve"> des échanges</w:t>
      </w:r>
      <w:r w:rsidR="000006E0" w:rsidRPr="008E3349">
        <w:t> </w:t>
      </w:r>
      <w:r w:rsidR="00104CC1">
        <w:t xml:space="preserve">(ex : </w:t>
      </w:r>
      <w:r w:rsidR="00431D05">
        <w:t xml:space="preserve">modèle de </w:t>
      </w:r>
      <w:r w:rsidR="00497883">
        <w:t>compte-rendu synthétique</w:t>
      </w:r>
      <w:r w:rsidR="00431D05">
        <w:t xml:space="preserve">, etc.) </w:t>
      </w:r>
      <w:r w:rsidR="000006E0" w:rsidRPr="008E3349">
        <w:t xml:space="preserve">; </w:t>
      </w:r>
    </w:p>
    <w:p w14:paraId="53682A4C" w14:textId="3383EA75" w:rsidR="00D05018" w:rsidRDefault="0091683A" w:rsidP="00F22472">
      <w:pPr>
        <w:pStyle w:val="Paragraphedeliste"/>
        <w:numPr>
          <w:ilvl w:val="0"/>
          <w:numId w:val="1"/>
        </w:numPr>
        <w:spacing w:before="0" w:after="20"/>
        <w:contextualSpacing w:val="0"/>
        <w:jc w:val="both"/>
      </w:pPr>
      <w:r>
        <w:t>assurer</w:t>
      </w:r>
      <w:r w:rsidRPr="0091683A">
        <w:t xml:space="preserve"> un </w:t>
      </w:r>
      <w:r w:rsidRPr="0091683A">
        <w:rPr>
          <w:u w:val="single"/>
        </w:rPr>
        <w:t>niveau d’informations égal</w:t>
      </w:r>
      <w:r w:rsidRPr="0091683A">
        <w:t xml:space="preserve"> à tou</w:t>
      </w:r>
      <w:r w:rsidR="00150C65">
        <w:t>te</w:t>
      </w:r>
      <w:r w:rsidRPr="0091683A">
        <w:t>s les entreprises participantes</w:t>
      </w:r>
      <w:r>
        <w:t xml:space="preserve"> </w:t>
      </w:r>
      <w:r w:rsidR="00C46FB9">
        <w:t>(liste de thématiques communes</w:t>
      </w:r>
      <w:r w:rsidR="006D241E">
        <w:t>, ex : performance technique, structuration des coûts, développement durable…</w:t>
      </w:r>
      <w:r w:rsidR="00C46FB9">
        <w:t xml:space="preserve">) </w:t>
      </w:r>
      <w:r>
        <w:t xml:space="preserve">et ne communiquer aucun élément de la future consultation ; </w:t>
      </w:r>
    </w:p>
    <w:p w14:paraId="20B4A466" w14:textId="4F3E460A" w:rsidR="00996499" w:rsidRDefault="00996499" w:rsidP="00F22472">
      <w:pPr>
        <w:pStyle w:val="Paragraphedeliste"/>
        <w:numPr>
          <w:ilvl w:val="0"/>
          <w:numId w:val="1"/>
        </w:numPr>
        <w:spacing w:before="0" w:after="20"/>
        <w:contextualSpacing w:val="0"/>
        <w:jc w:val="both"/>
      </w:pPr>
      <w:r>
        <w:t xml:space="preserve">respecter la </w:t>
      </w:r>
      <w:r w:rsidRPr="00996499">
        <w:rPr>
          <w:u w:val="single"/>
        </w:rPr>
        <w:t xml:space="preserve">confidentialité </w:t>
      </w:r>
      <w:r w:rsidR="00124406" w:rsidRPr="00D05018">
        <w:rPr>
          <w:u w:val="single"/>
        </w:rPr>
        <w:t>des informations</w:t>
      </w:r>
      <w:r w:rsidR="00124406">
        <w:t xml:space="preserve"> </w:t>
      </w:r>
      <w:r w:rsidR="00BE74E1">
        <w:t>transmises</w:t>
      </w:r>
      <w:r w:rsidR="00124406">
        <w:t xml:space="preserve"> par les entreprises (secret des affaires) </w:t>
      </w:r>
      <w:r w:rsidR="00174B44">
        <w:t xml:space="preserve">et ne pas reprendre leurs idées / procédés novateurs dans le cahier des charges </w:t>
      </w:r>
      <w:r w:rsidR="00124406">
        <w:t>;</w:t>
      </w:r>
    </w:p>
    <w:p w14:paraId="129FB8DE" w14:textId="431F824F" w:rsidR="00276EC7" w:rsidRPr="008E3349" w:rsidRDefault="00276EC7" w:rsidP="00F22472">
      <w:pPr>
        <w:pStyle w:val="Paragraphedeliste"/>
        <w:numPr>
          <w:ilvl w:val="0"/>
          <w:numId w:val="1"/>
        </w:numPr>
        <w:spacing w:before="0" w:after="20"/>
        <w:contextualSpacing w:val="0"/>
        <w:jc w:val="both"/>
      </w:pPr>
      <w:r>
        <w:t xml:space="preserve">respecter un </w:t>
      </w:r>
      <w:r w:rsidRPr="006D241E">
        <w:rPr>
          <w:u w:val="single"/>
        </w:rPr>
        <w:t>délai de quelques semaines</w:t>
      </w:r>
      <w:r>
        <w:t xml:space="preserve"> entre la fin </w:t>
      </w:r>
      <w:r w:rsidR="000C6816">
        <w:t xml:space="preserve">du </w:t>
      </w:r>
      <w:r>
        <w:t xml:space="preserve">sourcing et le lancement de la consultation ; </w:t>
      </w:r>
    </w:p>
    <w:p w14:paraId="2D5C2663" w14:textId="19C44F22" w:rsidR="008D5D67" w:rsidRPr="00763B4D" w:rsidRDefault="003569DD" w:rsidP="000B7EA6">
      <w:pPr>
        <w:pStyle w:val="Paragraphedeliste"/>
        <w:numPr>
          <w:ilvl w:val="0"/>
          <w:numId w:val="1"/>
        </w:numPr>
        <w:spacing w:before="0" w:after="120"/>
        <w:ind w:left="714" w:hanging="357"/>
        <w:contextualSpacing w:val="0"/>
        <w:jc w:val="both"/>
      </w:pPr>
      <w:r w:rsidRPr="00763B4D">
        <w:t xml:space="preserve">évaluer </w:t>
      </w:r>
      <w:r w:rsidRPr="002C0BFF">
        <w:rPr>
          <w:i/>
        </w:rPr>
        <w:t>a posteriori</w:t>
      </w:r>
      <w:r w:rsidRPr="00763B4D">
        <w:t xml:space="preserve"> </w:t>
      </w:r>
      <w:r w:rsidR="00763B4D" w:rsidRPr="00763B4D">
        <w:rPr>
          <w:u w:val="single"/>
        </w:rPr>
        <w:t>l’apport du sourcing</w:t>
      </w:r>
      <w:r w:rsidR="00763B4D" w:rsidRPr="00763B4D">
        <w:t xml:space="preserve"> pour l’amélioration d</w:t>
      </w:r>
      <w:r w:rsidR="001A0B88">
        <w:t xml:space="preserve">es </w:t>
      </w:r>
      <w:r w:rsidR="004E75E9">
        <w:t>achat</w:t>
      </w:r>
      <w:r w:rsidR="001A0B88">
        <w:t>s</w:t>
      </w:r>
      <w:r w:rsidR="004E75E9">
        <w:t xml:space="preserve"> et la satisfaction des utilisateurs.</w:t>
      </w:r>
    </w:p>
    <w:p w14:paraId="3A349F0A" w14:textId="164E46D3" w:rsidR="000C6816" w:rsidRDefault="000C6816" w:rsidP="000C6816">
      <w:pPr>
        <w:spacing w:before="120" w:after="120"/>
        <w:jc w:val="both"/>
        <w:rPr>
          <w:rFonts w:eastAsia="Times New Roman"/>
          <w:szCs w:val="22"/>
        </w:rPr>
      </w:pPr>
      <w:r w:rsidRPr="000C6816">
        <w:rPr>
          <w:rFonts w:eastAsia="Times New Roman"/>
          <w:szCs w:val="22"/>
        </w:rPr>
        <w:t>Afin de rassurer les opérateurs économiques inquiets du traitement qui pourrait être réservé aux données techniques et/ou financières qu’ils communiquent, une bonne pratique peut être de leur demander de signaler lors du sourcing (et plus généralement dans leurs offres) les éléments qu’ils es</w:t>
      </w:r>
      <w:r w:rsidR="002C0BFF">
        <w:rPr>
          <w:rFonts w:eastAsia="Times New Roman"/>
          <w:szCs w:val="22"/>
        </w:rPr>
        <w:t>timent de nature confidentielle</w:t>
      </w:r>
      <w:r w:rsidRPr="000C6816">
        <w:rPr>
          <w:rFonts w:eastAsia="Times New Roman"/>
          <w:szCs w:val="22"/>
        </w:rPr>
        <w:t>.</w:t>
      </w:r>
    </w:p>
    <w:p w14:paraId="0329B896" w14:textId="70B7BCA5" w:rsidR="00104CC1" w:rsidRDefault="000B62D1" w:rsidP="000C6816">
      <w:pPr>
        <w:spacing w:before="120" w:after="120"/>
        <w:jc w:val="both"/>
        <w:rPr>
          <w:rFonts w:eastAsia="Times New Roman"/>
          <w:szCs w:val="22"/>
        </w:rPr>
      </w:pPr>
      <w:r>
        <w:rPr>
          <w:rFonts w:eastAsia="Times New Roman"/>
          <w:szCs w:val="22"/>
        </w:rPr>
        <w:t xml:space="preserve">Les acheteurs </w:t>
      </w:r>
      <w:r w:rsidR="00060EFE">
        <w:rPr>
          <w:rFonts w:eastAsia="Times New Roman"/>
          <w:szCs w:val="22"/>
        </w:rPr>
        <w:t xml:space="preserve">qui manqueraient </w:t>
      </w:r>
      <w:r>
        <w:rPr>
          <w:rFonts w:eastAsia="Times New Roman"/>
          <w:szCs w:val="22"/>
        </w:rPr>
        <w:t xml:space="preserve">de moyens </w:t>
      </w:r>
      <w:r w:rsidR="00E708B4">
        <w:rPr>
          <w:rFonts w:eastAsia="Times New Roman"/>
          <w:szCs w:val="22"/>
        </w:rPr>
        <w:t xml:space="preserve">ou bien de pratique </w:t>
      </w:r>
      <w:r w:rsidR="00456C6E">
        <w:rPr>
          <w:rFonts w:eastAsia="Times New Roman"/>
          <w:szCs w:val="22"/>
        </w:rPr>
        <w:t xml:space="preserve">peuvent </w:t>
      </w:r>
      <w:r w:rsidR="00456C6E" w:rsidRPr="00620580">
        <w:rPr>
          <w:rFonts w:eastAsia="Times New Roman"/>
          <w:b/>
          <w:szCs w:val="22"/>
        </w:rPr>
        <w:t xml:space="preserve">mutualiser </w:t>
      </w:r>
      <w:r w:rsidR="00E708B4" w:rsidRPr="00620580">
        <w:rPr>
          <w:rFonts w:eastAsia="Times New Roman"/>
          <w:b/>
          <w:szCs w:val="22"/>
        </w:rPr>
        <w:t>cette phase</w:t>
      </w:r>
      <w:r w:rsidR="00456C6E" w:rsidRPr="00620580">
        <w:rPr>
          <w:rFonts w:eastAsia="Times New Roman"/>
          <w:b/>
          <w:szCs w:val="22"/>
        </w:rPr>
        <w:t xml:space="preserve"> avec d’autres administrations</w:t>
      </w:r>
      <w:r w:rsidR="00456C6E">
        <w:rPr>
          <w:rFonts w:eastAsia="Times New Roman"/>
          <w:szCs w:val="22"/>
        </w:rPr>
        <w:t xml:space="preserve"> présentes sur </w:t>
      </w:r>
      <w:r w:rsidR="00060EFE">
        <w:rPr>
          <w:rFonts w:eastAsia="Times New Roman"/>
          <w:szCs w:val="22"/>
        </w:rPr>
        <w:t>le</w:t>
      </w:r>
      <w:r w:rsidR="00565050">
        <w:rPr>
          <w:rFonts w:eastAsia="Times New Roman"/>
          <w:szCs w:val="22"/>
        </w:rPr>
        <w:t xml:space="preserve"> territoire. </w:t>
      </w:r>
      <w:r w:rsidR="00104CC1">
        <w:rPr>
          <w:rFonts w:eastAsia="Times New Roman"/>
          <w:szCs w:val="22"/>
        </w:rPr>
        <w:t xml:space="preserve">Pour </w:t>
      </w:r>
      <w:r>
        <w:rPr>
          <w:rFonts w:eastAsia="Times New Roman"/>
          <w:szCs w:val="22"/>
        </w:rPr>
        <w:t xml:space="preserve">les </w:t>
      </w:r>
      <w:r w:rsidR="00104CC1">
        <w:rPr>
          <w:rFonts w:eastAsia="Times New Roman"/>
          <w:szCs w:val="22"/>
        </w:rPr>
        <w:t xml:space="preserve">accompagner dans </w:t>
      </w:r>
      <w:r w:rsidR="00060EFE">
        <w:rPr>
          <w:rFonts w:eastAsia="Times New Roman"/>
          <w:szCs w:val="22"/>
        </w:rPr>
        <w:t>cette</w:t>
      </w:r>
      <w:r w:rsidR="00104CC1">
        <w:rPr>
          <w:rFonts w:eastAsia="Times New Roman"/>
          <w:szCs w:val="22"/>
        </w:rPr>
        <w:t xml:space="preserve"> démarche, </w:t>
      </w:r>
      <w:r>
        <w:rPr>
          <w:rFonts w:eastAsia="Times New Roman"/>
          <w:szCs w:val="22"/>
        </w:rPr>
        <w:t>de même que p</w:t>
      </w:r>
      <w:r w:rsidR="00104CC1">
        <w:rPr>
          <w:rFonts w:eastAsia="Times New Roman"/>
          <w:szCs w:val="22"/>
        </w:rPr>
        <w:t xml:space="preserve">our permettre aux entreprises de se manifester, il existe </w:t>
      </w:r>
      <w:r w:rsidR="0088060E">
        <w:rPr>
          <w:rFonts w:eastAsia="Times New Roman"/>
          <w:szCs w:val="22"/>
        </w:rPr>
        <w:t>différents</w:t>
      </w:r>
      <w:r w:rsidR="004A04F4">
        <w:rPr>
          <w:rFonts w:eastAsia="Times New Roman"/>
          <w:szCs w:val="22"/>
        </w:rPr>
        <w:t xml:space="preserve"> </w:t>
      </w:r>
      <w:r w:rsidR="00565050">
        <w:rPr>
          <w:rFonts w:eastAsia="Times New Roman"/>
          <w:szCs w:val="22"/>
        </w:rPr>
        <w:t xml:space="preserve">outils et </w:t>
      </w:r>
      <w:r>
        <w:rPr>
          <w:rFonts w:eastAsia="Times New Roman"/>
          <w:szCs w:val="22"/>
        </w:rPr>
        <w:t>réseaux</w:t>
      </w:r>
      <w:r w:rsidR="00456C6E">
        <w:rPr>
          <w:rFonts w:eastAsia="Times New Roman"/>
          <w:szCs w:val="22"/>
        </w:rPr>
        <w:t xml:space="preserve"> d’échanges</w:t>
      </w:r>
      <w:r w:rsidR="00FB64E9">
        <w:rPr>
          <w:rFonts w:eastAsia="Times New Roman"/>
          <w:szCs w:val="22"/>
        </w:rPr>
        <w:t xml:space="preserve"> (</w:t>
      </w:r>
      <w:r w:rsidR="00E27EB4">
        <w:rPr>
          <w:rFonts w:eastAsia="Times New Roman"/>
          <w:szCs w:val="22"/>
        </w:rPr>
        <w:t>animation régionale conjointe Etat/collectivités</w:t>
      </w:r>
      <w:r w:rsidR="00FB64E9">
        <w:rPr>
          <w:rFonts w:eastAsia="Times New Roman"/>
          <w:szCs w:val="22"/>
        </w:rPr>
        <w:t xml:space="preserve">, </w:t>
      </w:r>
      <w:r w:rsidR="00E27EB4">
        <w:rPr>
          <w:rFonts w:eastAsia="Times New Roman"/>
          <w:szCs w:val="22"/>
        </w:rPr>
        <w:t>« </w:t>
      </w:r>
      <w:r w:rsidR="000D2A92">
        <w:rPr>
          <w:rFonts w:eastAsia="Times New Roman"/>
          <w:szCs w:val="22"/>
        </w:rPr>
        <w:t>catalogue</w:t>
      </w:r>
      <w:r w:rsidR="00E27EB4">
        <w:rPr>
          <w:rFonts w:eastAsia="Times New Roman"/>
          <w:szCs w:val="22"/>
        </w:rPr>
        <w:t> »</w:t>
      </w:r>
      <w:r w:rsidR="000D2A92">
        <w:rPr>
          <w:rFonts w:eastAsia="Times New Roman"/>
          <w:szCs w:val="22"/>
        </w:rPr>
        <w:t xml:space="preserve"> </w:t>
      </w:r>
      <w:r w:rsidR="00FB64E9">
        <w:rPr>
          <w:rFonts w:eastAsia="Times New Roman"/>
          <w:szCs w:val="22"/>
        </w:rPr>
        <w:t xml:space="preserve">UGAP, </w:t>
      </w:r>
      <w:r w:rsidR="000D2A92">
        <w:rPr>
          <w:rFonts w:eastAsia="Times New Roman"/>
          <w:szCs w:val="22"/>
        </w:rPr>
        <w:t>appui des CCI</w:t>
      </w:r>
      <w:r w:rsidR="00E27EB4">
        <w:rPr>
          <w:rFonts w:eastAsia="Times New Roman"/>
          <w:szCs w:val="22"/>
        </w:rPr>
        <w:t xml:space="preserve">, </w:t>
      </w:r>
      <w:r w:rsidR="00FB64E9">
        <w:rPr>
          <w:rFonts w:eastAsia="Times New Roman"/>
          <w:szCs w:val="22"/>
        </w:rPr>
        <w:t>pôles de compétitivité…)</w:t>
      </w:r>
      <w:r w:rsidR="00456C6E">
        <w:rPr>
          <w:rFonts w:eastAsia="Times New Roman"/>
          <w:szCs w:val="22"/>
        </w:rPr>
        <w:t xml:space="preserve">. </w:t>
      </w:r>
    </w:p>
    <w:p w14:paraId="5D754867" w14:textId="0894237C" w:rsidR="00D142FD" w:rsidRDefault="00922262" w:rsidP="000C6816">
      <w:pPr>
        <w:spacing w:before="120" w:after="0"/>
      </w:pPr>
      <w:bookmarkStart w:id="10" w:name="_Toc2867178"/>
      <w:r>
        <w:t xml:space="preserve">Pour aller plus loin, </w:t>
      </w:r>
      <w:r w:rsidR="00620580">
        <w:t xml:space="preserve">vous pouvez </w:t>
      </w:r>
      <w:r>
        <w:t xml:space="preserve">consulter : </w:t>
      </w:r>
    </w:p>
    <w:p w14:paraId="30B35035" w14:textId="2F8E8FD5" w:rsidR="00922262" w:rsidRDefault="0078769E" w:rsidP="001A0B88">
      <w:pPr>
        <w:pStyle w:val="Paragraphedeliste"/>
        <w:numPr>
          <w:ilvl w:val="0"/>
          <w:numId w:val="30"/>
        </w:numPr>
        <w:spacing w:before="0" w:after="20"/>
        <w:ind w:left="714" w:hanging="357"/>
        <w:contextualSpacing w:val="0"/>
      </w:pPr>
      <w:hyperlink r:id="rId23" w:history="1">
        <w:r w:rsidR="00922262" w:rsidRPr="005F1CDD">
          <w:rPr>
            <w:rStyle w:val="Lienhypertexte"/>
          </w:rPr>
          <w:t>le guide du sourcing opérationnel de la D</w:t>
        </w:r>
        <w:r w:rsidR="003C34AE">
          <w:rPr>
            <w:rStyle w:val="Lienhypertexte"/>
          </w:rPr>
          <w:t>AE</w:t>
        </w:r>
      </w:hyperlink>
      <w:r w:rsidR="00922262">
        <w:t xml:space="preserve"> ; </w:t>
      </w:r>
    </w:p>
    <w:p w14:paraId="393F0E5A" w14:textId="007AB010" w:rsidR="00922262" w:rsidRPr="00E27EB4" w:rsidRDefault="00922262" w:rsidP="001A0B88">
      <w:pPr>
        <w:pStyle w:val="Paragraphedeliste"/>
        <w:numPr>
          <w:ilvl w:val="0"/>
          <w:numId w:val="30"/>
        </w:numPr>
        <w:spacing w:before="0" w:after="120"/>
        <w:ind w:left="714" w:hanging="357"/>
        <w:contextualSpacing w:val="0"/>
        <w:rPr>
          <w:highlight w:val="yellow"/>
        </w:rPr>
      </w:pPr>
      <w:r w:rsidRPr="00E27EB4">
        <w:rPr>
          <w:highlight w:val="yellow"/>
        </w:rPr>
        <w:t xml:space="preserve">le guide du sourcing de France Urbaine. </w:t>
      </w:r>
    </w:p>
    <w:p w14:paraId="02F50EAA" w14:textId="1E110D4A" w:rsidR="000D3C07" w:rsidRDefault="009806A0" w:rsidP="009A2527">
      <w:pPr>
        <w:pStyle w:val="Titre2"/>
        <w:spacing w:before="240"/>
      </w:pPr>
      <w:bookmarkStart w:id="11" w:name="_Toc7425924"/>
      <w:r>
        <w:lastRenderedPageBreak/>
        <w:t>La d</w:t>
      </w:r>
      <w:r w:rsidR="000D3C07">
        <w:t xml:space="preserve">éfinition </w:t>
      </w:r>
      <w:r w:rsidR="005E61ED">
        <w:t>des besoins, une etape fondamentale de l’ACHAT</w:t>
      </w:r>
      <w:bookmarkEnd w:id="11"/>
      <w:r w:rsidR="005E61ED">
        <w:t xml:space="preserve"> </w:t>
      </w:r>
      <w:bookmarkEnd w:id="10"/>
    </w:p>
    <w:p w14:paraId="00E4782E" w14:textId="65394A47" w:rsidR="005E61ED" w:rsidRDefault="006C0ABA" w:rsidP="005E61ED">
      <w:pPr>
        <w:pStyle w:val="Titre4"/>
        <w:rPr>
          <w:rFonts w:eastAsia="Times New Roman"/>
        </w:rPr>
      </w:pPr>
      <w:r>
        <w:rPr>
          <w:rFonts w:eastAsia="Times New Roman"/>
        </w:rPr>
        <w:t>Les é</w:t>
      </w:r>
      <w:r w:rsidR="005E61ED">
        <w:rPr>
          <w:rFonts w:eastAsia="Times New Roman"/>
        </w:rPr>
        <w:t>léments participant à la définition des besoins</w:t>
      </w:r>
    </w:p>
    <w:p w14:paraId="3EF4967F" w14:textId="6379B1A9" w:rsidR="00B925F2" w:rsidRDefault="00620580" w:rsidP="00053721">
      <w:pPr>
        <w:spacing w:before="120" w:after="80"/>
        <w:ind w:left="227" w:right="227"/>
        <w:jc w:val="both"/>
        <w:rPr>
          <w:rFonts w:eastAsia="Times New Roman"/>
        </w:rPr>
      </w:pPr>
      <w:r w:rsidRPr="00922262">
        <w:rPr>
          <w:rStyle w:val="Lienhypertexte"/>
          <w:noProof/>
          <w:szCs w:val="23"/>
          <w:lang w:eastAsia="fr-FR"/>
        </w:rPr>
        <w:drawing>
          <wp:anchor distT="0" distB="0" distL="114300" distR="114300" simplePos="0" relativeHeight="251748352" behindDoc="0" locked="0" layoutInCell="1" allowOverlap="1" wp14:anchorId="5C537F52" wp14:editId="5122E935">
            <wp:simplePos x="0" y="0"/>
            <wp:positionH relativeFrom="column">
              <wp:posOffset>144154</wp:posOffset>
            </wp:positionH>
            <wp:positionV relativeFrom="paragraph">
              <wp:posOffset>123029</wp:posOffset>
            </wp:positionV>
            <wp:extent cx="375285" cy="375285"/>
            <wp:effectExtent l="0" t="0" r="5715" b="5715"/>
            <wp:wrapSquare wrapText="bothSides"/>
            <wp:docPr id="18" name="Image 18" descr="K:\1ESD\1C\COMMUN1C\06. OECP\3 - GT OECP\GT_acces-TPE-PME\Projet de guide\Icônes\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1ESD\1C\COMMUN1C\06. OECP\3 - GT OECP\GT_acces-TPE-PME\Projet de guide\Icônes\book.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flipH="1">
                      <a:off x="0" y="0"/>
                      <a:ext cx="375285" cy="375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49DB" w:rsidRPr="00FE49DB">
        <w:rPr>
          <w:rFonts w:eastAsia="Times New Roman"/>
        </w:rPr>
        <w:t xml:space="preserve">La </w:t>
      </w:r>
      <w:r w:rsidR="00FE49DB" w:rsidRPr="002B4F0F">
        <w:rPr>
          <w:rFonts w:eastAsia="Times New Roman"/>
        </w:rPr>
        <w:t>définition du besoin</w:t>
      </w:r>
      <w:r w:rsidR="00FE49DB" w:rsidRPr="00FE49DB">
        <w:rPr>
          <w:rFonts w:eastAsia="Times New Roman"/>
        </w:rPr>
        <w:t xml:space="preserve"> est une obligation réglementaire </w:t>
      </w:r>
      <w:r w:rsidR="00E97FA6">
        <w:rPr>
          <w:rFonts w:eastAsia="Times New Roman"/>
        </w:rPr>
        <w:t xml:space="preserve">posée à </w:t>
      </w:r>
      <w:r w:rsidR="00B925F2">
        <w:rPr>
          <w:rFonts w:eastAsia="Times New Roman"/>
        </w:rPr>
        <w:t xml:space="preserve">l’article </w:t>
      </w:r>
      <w:r w:rsidR="00B925F2" w:rsidRPr="00B925F2">
        <w:rPr>
          <w:rFonts w:eastAsia="Times New Roman"/>
        </w:rPr>
        <w:t>L</w:t>
      </w:r>
      <w:r w:rsidR="00FB1983">
        <w:rPr>
          <w:rFonts w:eastAsia="Times New Roman"/>
        </w:rPr>
        <w:t>.</w:t>
      </w:r>
      <w:r w:rsidR="00B925F2" w:rsidRPr="00B925F2">
        <w:rPr>
          <w:rFonts w:eastAsia="Times New Roman"/>
        </w:rPr>
        <w:t>2111-1</w:t>
      </w:r>
      <w:r w:rsidR="006074B4">
        <w:rPr>
          <w:rFonts w:eastAsia="Times New Roman"/>
        </w:rPr>
        <w:t xml:space="preserve"> </w:t>
      </w:r>
      <w:r w:rsidR="00B925F2">
        <w:rPr>
          <w:rFonts w:eastAsia="Times New Roman"/>
        </w:rPr>
        <w:t>du CCP « </w:t>
      </w:r>
      <w:r w:rsidR="00B925F2">
        <w:rPr>
          <w:rFonts w:eastAsia="Times New Roman"/>
          <w:i/>
        </w:rPr>
        <w:t>l</w:t>
      </w:r>
      <w:r w:rsidR="00B925F2" w:rsidRPr="00B925F2">
        <w:rPr>
          <w:rFonts w:eastAsia="Times New Roman"/>
          <w:i/>
        </w:rPr>
        <w:t>a nature et l'étendue des besoins à satisfaire sont déterminées avec précision avant le lancement de la consultation en prenant en compte des objectifs de développement durable dans leurs dimensions économique, sociale et environnementale.</w:t>
      </w:r>
      <w:r w:rsidR="00B925F2">
        <w:rPr>
          <w:rFonts w:eastAsia="Times New Roman"/>
        </w:rPr>
        <w:t> »</w:t>
      </w:r>
    </w:p>
    <w:p w14:paraId="0F3786A9" w14:textId="3CAECAC9" w:rsidR="005E61ED" w:rsidRDefault="00CF460B" w:rsidP="00503304">
      <w:pPr>
        <w:spacing w:after="60"/>
        <w:jc w:val="both"/>
        <w:rPr>
          <w:rFonts w:eastAsia="Times New Roman"/>
        </w:rPr>
      </w:pPr>
      <w:r w:rsidRPr="00CF460B">
        <w:rPr>
          <w:rFonts w:eastAsia="Times New Roman"/>
        </w:rPr>
        <w:t xml:space="preserve">Une bonne </w:t>
      </w:r>
      <w:r w:rsidR="00503304">
        <w:rPr>
          <w:rFonts w:eastAsia="Times New Roman"/>
        </w:rPr>
        <w:t xml:space="preserve">définition </w:t>
      </w:r>
      <w:r w:rsidRPr="00CF460B">
        <w:rPr>
          <w:rFonts w:eastAsia="Times New Roman"/>
        </w:rPr>
        <w:t xml:space="preserve">du </w:t>
      </w:r>
      <w:r w:rsidR="00503304">
        <w:rPr>
          <w:rFonts w:eastAsia="Times New Roman"/>
        </w:rPr>
        <w:t xml:space="preserve">besoin </w:t>
      </w:r>
      <w:r w:rsidR="00A934C2">
        <w:rPr>
          <w:rFonts w:eastAsia="Times New Roman"/>
        </w:rPr>
        <w:t xml:space="preserve">dans les documents de la consultation </w:t>
      </w:r>
      <w:r w:rsidR="00503304">
        <w:rPr>
          <w:rFonts w:eastAsia="Times New Roman"/>
        </w:rPr>
        <w:t xml:space="preserve">doit permettre de répondre aux questions suivantes : </w:t>
      </w:r>
      <w:r w:rsidR="00A53B58">
        <w:rPr>
          <w:rFonts w:eastAsia="Times New Roman"/>
        </w:rPr>
        <w:t xml:space="preserve">que veut-on acheter ? </w:t>
      </w:r>
      <w:r w:rsidR="008B27F4">
        <w:rPr>
          <w:rFonts w:eastAsia="Times New Roman"/>
        </w:rPr>
        <w:t>Dans</w:t>
      </w:r>
      <w:r w:rsidR="00A53B58">
        <w:rPr>
          <w:rFonts w:eastAsia="Times New Roman"/>
        </w:rPr>
        <w:t xml:space="preserve"> quelle quantité ? </w:t>
      </w:r>
      <w:r w:rsidR="008B27F4">
        <w:rPr>
          <w:rFonts w:eastAsia="Times New Roman"/>
        </w:rPr>
        <w:t>Sous</w:t>
      </w:r>
      <w:r w:rsidR="00A53B58">
        <w:rPr>
          <w:rFonts w:eastAsia="Times New Roman"/>
        </w:rPr>
        <w:t xml:space="preserve"> quel délai ? </w:t>
      </w:r>
      <w:r w:rsidR="008B27F4">
        <w:rPr>
          <w:rFonts w:eastAsia="Times New Roman"/>
        </w:rPr>
        <w:t>Avec</w:t>
      </w:r>
      <w:r w:rsidR="00A53B58">
        <w:rPr>
          <w:rFonts w:eastAsia="Times New Roman"/>
        </w:rPr>
        <w:t xml:space="preserve"> quel niv</w:t>
      </w:r>
      <w:r w:rsidR="00503304">
        <w:rPr>
          <w:rFonts w:eastAsia="Times New Roman"/>
        </w:rPr>
        <w:t>eau de qualité </w:t>
      </w:r>
      <w:r w:rsidR="00053721">
        <w:rPr>
          <w:rFonts w:eastAsia="Times New Roman"/>
        </w:rPr>
        <w:t xml:space="preserve">et de performance </w:t>
      </w:r>
      <w:r w:rsidR="00503304">
        <w:rPr>
          <w:rFonts w:eastAsia="Times New Roman"/>
        </w:rPr>
        <w:t xml:space="preserve">? </w:t>
      </w:r>
      <w:r w:rsidR="008B27F4">
        <w:rPr>
          <w:rFonts w:eastAsia="Times New Roman"/>
        </w:rPr>
        <w:t>À</w:t>
      </w:r>
      <w:r w:rsidR="00503304">
        <w:rPr>
          <w:rFonts w:eastAsia="Times New Roman"/>
        </w:rPr>
        <w:t xml:space="preserve"> quel prix ? </w:t>
      </w:r>
    </w:p>
    <w:p w14:paraId="5043A27E" w14:textId="26D47552" w:rsidR="00503304" w:rsidRDefault="005E61ED" w:rsidP="00503304">
      <w:pPr>
        <w:spacing w:after="60"/>
        <w:jc w:val="both"/>
        <w:rPr>
          <w:rFonts w:eastAsia="Times New Roman"/>
        </w:rPr>
      </w:pPr>
      <w:r>
        <w:rPr>
          <w:rFonts w:eastAsia="Times New Roman"/>
        </w:rPr>
        <w:t>La définition du besoin</w:t>
      </w:r>
      <w:r w:rsidR="00503304">
        <w:rPr>
          <w:rFonts w:eastAsia="Times New Roman"/>
        </w:rPr>
        <w:t xml:space="preserve"> doit également intégrer une démarche de </w:t>
      </w:r>
      <w:r w:rsidR="006074B4">
        <w:rPr>
          <w:rFonts w:eastAsia="Times New Roman"/>
        </w:rPr>
        <w:t xml:space="preserve">développement durable et </w:t>
      </w:r>
      <w:r w:rsidR="00503304">
        <w:rPr>
          <w:rFonts w:eastAsia="Times New Roman"/>
        </w:rPr>
        <w:t>d’</w:t>
      </w:r>
      <w:r w:rsidR="006074B4">
        <w:rPr>
          <w:rFonts w:eastAsia="Times New Roman"/>
        </w:rPr>
        <w:t>accessibilité</w:t>
      </w:r>
      <w:r w:rsidR="00325014">
        <w:rPr>
          <w:rStyle w:val="Appelnotedebasdep"/>
          <w:rFonts w:eastAsia="Times New Roman"/>
        </w:rPr>
        <w:footnoteReference w:id="3"/>
      </w:r>
      <w:r w:rsidR="00686F48">
        <w:rPr>
          <w:rFonts w:eastAsia="Times New Roman"/>
        </w:rPr>
        <w:t>, ainsi qu’une nécessaire optimisation d</w:t>
      </w:r>
      <w:r w:rsidR="008B27F4">
        <w:rPr>
          <w:rFonts w:eastAsia="Times New Roman"/>
        </w:rPr>
        <w:t xml:space="preserve">u </w:t>
      </w:r>
      <w:r w:rsidR="00C10BAC">
        <w:rPr>
          <w:rFonts w:eastAsia="Times New Roman"/>
        </w:rPr>
        <w:t>coût des prestations,</w:t>
      </w:r>
      <w:r w:rsidR="008B27F4">
        <w:rPr>
          <w:rFonts w:eastAsia="Times New Roman"/>
        </w:rPr>
        <w:t xml:space="preserve"> dans un contexte financier contraint pour les entités publique</w:t>
      </w:r>
      <w:r w:rsidR="00A934C2">
        <w:rPr>
          <w:rFonts w:eastAsia="Times New Roman"/>
        </w:rPr>
        <w:t>s</w:t>
      </w:r>
      <w:r w:rsidR="008B27F4">
        <w:rPr>
          <w:rFonts w:eastAsia="Times New Roman"/>
        </w:rPr>
        <w:t>.</w:t>
      </w:r>
      <w:r w:rsidR="006074B4">
        <w:rPr>
          <w:rFonts w:eastAsia="Times New Roman"/>
        </w:rPr>
        <w:t xml:space="preserve"> </w:t>
      </w:r>
    </w:p>
    <w:p w14:paraId="6821510D" w14:textId="6156C4A8" w:rsidR="006074B4" w:rsidRDefault="009A311E" w:rsidP="00D94979">
      <w:pPr>
        <w:spacing w:after="120"/>
        <w:jc w:val="both"/>
        <w:rPr>
          <w:rFonts w:eastAsia="Times New Roman"/>
        </w:rPr>
      </w:pPr>
      <w:r w:rsidRPr="009A311E">
        <w:rPr>
          <w:rFonts w:eastAsia="Times New Roman"/>
          <w:noProof/>
          <w:lang w:eastAsia="fr-FR"/>
        </w:rPr>
        <w:drawing>
          <wp:anchor distT="0" distB="0" distL="114300" distR="114300" simplePos="0" relativeHeight="251778048" behindDoc="1" locked="0" layoutInCell="1" allowOverlap="1" wp14:anchorId="759E2B38" wp14:editId="26739213">
            <wp:simplePos x="0" y="0"/>
            <wp:positionH relativeFrom="margin">
              <wp:align>right</wp:align>
            </wp:positionH>
            <wp:positionV relativeFrom="paragraph">
              <wp:posOffset>40005</wp:posOffset>
            </wp:positionV>
            <wp:extent cx="389255" cy="389255"/>
            <wp:effectExtent l="0" t="0" r="0" b="0"/>
            <wp:wrapTight wrapText="bothSides">
              <wp:wrapPolygon edited="0">
                <wp:start x="4228" y="0"/>
                <wp:lineTo x="0" y="4228"/>
                <wp:lineTo x="0" y="15856"/>
                <wp:lineTo x="3171" y="20085"/>
                <wp:lineTo x="15856" y="20085"/>
                <wp:lineTo x="20085" y="17971"/>
                <wp:lineTo x="20085" y="6343"/>
                <wp:lineTo x="19028" y="0"/>
                <wp:lineTo x="4228" y="0"/>
              </wp:wrapPolygon>
            </wp:wrapTight>
            <wp:docPr id="37" name="Image 37" descr="K:\1ESD\1C\COMMUN1C\11. Innovation\GT guide achats innovants\Projet de guide\Icônes\time-le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1ESD\1C\COMMUN1C\11. Innovation\GT guide achats innovants\Projet de guide\Icônes\time-left.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89255" cy="389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763F">
        <w:rPr>
          <w:rFonts w:eastAsia="Times New Roman"/>
        </w:rPr>
        <w:t xml:space="preserve">Réaliser une telle </w:t>
      </w:r>
      <w:r w:rsidR="001F483D">
        <w:rPr>
          <w:rFonts w:eastAsia="Times New Roman"/>
        </w:rPr>
        <w:t>synthèse requiert d</w:t>
      </w:r>
      <w:r w:rsidR="001F483D" w:rsidRPr="008E3EEB">
        <w:rPr>
          <w:rFonts w:eastAsia="Times New Roman"/>
        </w:rPr>
        <w:t xml:space="preserve">es </w:t>
      </w:r>
      <w:r w:rsidR="001F483D" w:rsidRPr="00503304">
        <w:rPr>
          <w:rFonts w:eastAsia="Times New Roman"/>
          <w:b/>
        </w:rPr>
        <w:t xml:space="preserve">itérations entre </w:t>
      </w:r>
      <w:r w:rsidR="00D94979">
        <w:rPr>
          <w:rFonts w:eastAsia="Times New Roman"/>
          <w:b/>
        </w:rPr>
        <w:t xml:space="preserve">services opérationnels </w:t>
      </w:r>
      <w:r w:rsidR="001F483D" w:rsidRPr="00503304">
        <w:rPr>
          <w:rFonts w:eastAsia="Times New Roman"/>
          <w:b/>
        </w:rPr>
        <w:t>et acheteurs</w:t>
      </w:r>
      <w:r w:rsidR="00A53B58">
        <w:rPr>
          <w:rFonts w:eastAsia="Times New Roman"/>
        </w:rPr>
        <w:t xml:space="preserve"> </w:t>
      </w:r>
      <w:r w:rsidR="00686F48">
        <w:rPr>
          <w:rFonts w:eastAsia="Times New Roman"/>
        </w:rPr>
        <w:t xml:space="preserve">(et le cas échéant avec les utilisateurs) </w:t>
      </w:r>
      <w:r w:rsidR="001F483D" w:rsidRPr="008E3EEB">
        <w:rPr>
          <w:rFonts w:eastAsia="Times New Roman"/>
        </w:rPr>
        <w:t>; ce temps d’échanges doit être anticipé dans le planning de la procédure</w:t>
      </w:r>
      <w:r w:rsidR="004D2BFD">
        <w:rPr>
          <w:rFonts w:eastAsia="Times New Roman"/>
        </w:rPr>
        <w:t xml:space="preserve">, </w:t>
      </w:r>
      <w:r w:rsidR="00800477">
        <w:rPr>
          <w:rFonts w:eastAsia="Times New Roman"/>
        </w:rPr>
        <w:t>de même que</w:t>
      </w:r>
      <w:r w:rsidR="004D2BFD">
        <w:rPr>
          <w:rFonts w:eastAsia="Times New Roman"/>
        </w:rPr>
        <w:t xml:space="preserve"> la détermination des critères de sélection, l</w:t>
      </w:r>
      <w:r w:rsidR="00FB1983">
        <w:rPr>
          <w:rFonts w:eastAsia="Times New Roman"/>
        </w:rPr>
        <w:t xml:space="preserve">’ouverture aux </w:t>
      </w:r>
      <w:r w:rsidR="004D2BFD">
        <w:rPr>
          <w:rFonts w:eastAsia="Times New Roman"/>
        </w:rPr>
        <w:t>variantes, etc</w:t>
      </w:r>
      <w:r w:rsidR="001F483D" w:rsidRPr="008E3EEB">
        <w:rPr>
          <w:rFonts w:eastAsia="Times New Roman"/>
        </w:rPr>
        <w:t>.</w:t>
      </w:r>
      <w:r w:rsidR="001F483D">
        <w:rPr>
          <w:rFonts w:eastAsia="Times New Roman"/>
        </w:rPr>
        <w:t xml:space="preserve"> </w:t>
      </w:r>
    </w:p>
    <w:p w14:paraId="082C585B" w14:textId="4C793403" w:rsidR="00922E13" w:rsidRPr="00922E13" w:rsidRDefault="00922E13" w:rsidP="00922E13">
      <w:pPr>
        <w:spacing w:after="60"/>
        <w:jc w:val="both"/>
        <w:rPr>
          <w:rFonts w:eastAsia="Times New Roman"/>
        </w:rPr>
      </w:pPr>
      <w:r w:rsidRPr="00922E13">
        <w:rPr>
          <w:rFonts w:eastAsia="Times New Roman"/>
        </w:rPr>
        <w:t>L’absence ou l’insuffisance de définition du besoin est susceptible de constituer un manquement aux obligations de publicité et de mise en concurrence. Ex : sous-estimation des quantités, renvoi de la définition de certains besoins à un dispositif ultérieur, possibilité pour les candidats de proposer des services annexes non définis.</w:t>
      </w:r>
    </w:p>
    <w:p w14:paraId="4C5436AA" w14:textId="4EA416E9" w:rsidR="00D94979" w:rsidRDefault="00D94979" w:rsidP="00A1763F">
      <w:pPr>
        <w:spacing w:after="120"/>
        <w:jc w:val="both"/>
        <w:rPr>
          <w:rFonts w:eastAsia="Times New Roman"/>
        </w:rPr>
      </w:pPr>
      <w:r w:rsidRPr="00844381">
        <w:rPr>
          <w:rFonts w:eastAsia="Times New Roman"/>
        </w:rPr>
        <w:t>L</w:t>
      </w:r>
      <w:r w:rsidR="00F327BF" w:rsidRPr="00844381">
        <w:rPr>
          <w:rFonts w:eastAsia="Times New Roman"/>
        </w:rPr>
        <w:t xml:space="preserve">a définition des besoins </w:t>
      </w:r>
      <w:r w:rsidR="00844381" w:rsidRPr="00844381">
        <w:rPr>
          <w:rFonts w:eastAsia="Times New Roman"/>
        </w:rPr>
        <w:t xml:space="preserve">peut être </w:t>
      </w:r>
      <w:r w:rsidR="00F327BF" w:rsidRPr="00844381">
        <w:rPr>
          <w:rFonts w:eastAsia="Times New Roman"/>
        </w:rPr>
        <w:t xml:space="preserve">réalisée </w:t>
      </w:r>
      <w:r w:rsidR="00FB41A5" w:rsidRPr="00844381">
        <w:rPr>
          <w:rFonts w:eastAsia="Times New Roman"/>
          <w:i/>
        </w:rPr>
        <w:t>via</w:t>
      </w:r>
      <w:r w:rsidR="00F327BF" w:rsidRPr="00844381">
        <w:rPr>
          <w:rFonts w:eastAsia="Times New Roman"/>
        </w:rPr>
        <w:t xml:space="preserve"> des </w:t>
      </w:r>
      <w:r w:rsidR="00B1149F" w:rsidRPr="00844381">
        <w:rPr>
          <w:rFonts w:eastAsia="Times New Roman"/>
          <w:b/>
        </w:rPr>
        <w:t>spécifications techniques</w:t>
      </w:r>
      <w:r w:rsidRPr="00844381">
        <w:rPr>
          <w:rFonts w:eastAsia="Times New Roman"/>
        </w:rPr>
        <w:t>, qui doivent être</w:t>
      </w:r>
      <w:r w:rsidRPr="00F26540">
        <w:rPr>
          <w:rFonts w:eastAsia="Times New Roman"/>
        </w:rPr>
        <w:t xml:space="preserve"> liées à l’objet du marché public</w:t>
      </w:r>
      <w:r w:rsidRPr="00844381">
        <w:rPr>
          <w:rFonts w:eastAsia="Times New Roman"/>
        </w:rPr>
        <w:t xml:space="preserve"> et </w:t>
      </w:r>
      <w:r w:rsidRPr="00F26540">
        <w:rPr>
          <w:rFonts w:eastAsia="Times New Roman"/>
          <w:b/>
        </w:rPr>
        <w:t>proportionnées</w:t>
      </w:r>
      <w:r w:rsidRPr="00844381">
        <w:rPr>
          <w:rFonts w:eastAsia="Times New Roman"/>
        </w:rPr>
        <w:t xml:space="preserve"> à son montant et à ses objectifs. Elles décrivent </w:t>
      </w:r>
      <w:r w:rsidR="00844381" w:rsidRPr="00844381">
        <w:rPr>
          <w:rFonts w:eastAsia="Times New Roman"/>
        </w:rPr>
        <w:t xml:space="preserve">généralement </w:t>
      </w:r>
      <w:r w:rsidRPr="00844381">
        <w:rPr>
          <w:rFonts w:eastAsia="Times New Roman"/>
        </w:rPr>
        <w:t>soit les caractéristiques d’un produit, d’un ouvrage ou d’un service, soit le processus, la méthode spécifique de production ou une caractéristique du cycle de vie.</w:t>
      </w:r>
    </w:p>
    <w:p w14:paraId="784B4EF2" w14:textId="4E8C167E" w:rsidR="00792837" w:rsidRDefault="00792837" w:rsidP="00A1763F">
      <w:pPr>
        <w:spacing w:after="120"/>
        <w:jc w:val="both"/>
        <w:rPr>
          <w:rFonts w:eastAsia="Times New Roman"/>
        </w:rPr>
      </w:pPr>
      <w:r>
        <w:rPr>
          <w:rFonts w:eastAsia="Times New Roman"/>
        </w:rPr>
        <w:t xml:space="preserve">La description technique </w:t>
      </w:r>
      <w:r w:rsidRPr="00844381">
        <w:rPr>
          <w:rFonts w:eastAsia="Times New Roman"/>
        </w:rPr>
        <w:t>doi</w:t>
      </w:r>
      <w:r>
        <w:rPr>
          <w:rFonts w:eastAsia="Times New Roman"/>
        </w:rPr>
        <w:t>t</w:t>
      </w:r>
      <w:r w:rsidRPr="00844381">
        <w:rPr>
          <w:rFonts w:eastAsia="Times New Roman"/>
        </w:rPr>
        <w:t xml:space="preserve"> être objective</w:t>
      </w:r>
      <w:r>
        <w:rPr>
          <w:rFonts w:eastAsia="Times New Roman"/>
        </w:rPr>
        <w:t xml:space="preserve"> </w:t>
      </w:r>
      <w:r w:rsidRPr="00844381">
        <w:rPr>
          <w:rFonts w:eastAsia="Times New Roman"/>
        </w:rPr>
        <w:t xml:space="preserve">et ne </w:t>
      </w:r>
      <w:r w:rsidRPr="00984E4D">
        <w:rPr>
          <w:rFonts w:eastAsia="Times New Roman"/>
        </w:rPr>
        <w:t>pas créer de discrimination entre les opérateurs économiques</w:t>
      </w:r>
      <w:r>
        <w:rPr>
          <w:rFonts w:eastAsia="Times New Roman"/>
        </w:rPr>
        <w:t xml:space="preserve">, par exemple en mentionnant </w:t>
      </w:r>
      <w:r w:rsidRPr="00844381">
        <w:rPr>
          <w:rFonts w:eastAsia="Times New Roman"/>
        </w:rPr>
        <w:t>une marque, un brevet ou un type qui auraient pour objet ou pour effet de favoriser ou d’écarter certains produits ou services. L’acheteur peut toutefois y recourir à titre exceptionnel, à la condition que ces références soient accompagnées de la mention « ou équivalent »</w:t>
      </w:r>
      <w:r>
        <w:rPr>
          <w:rFonts w:eastAsia="Times New Roman"/>
        </w:rPr>
        <w:t>.</w:t>
      </w:r>
    </w:p>
    <w:p w14:paraId="770C9B69" w14:textId="45A86C88" w:rsidR="00984E4D" w:rsidRDefault="00984E4D" w:rsidP="0013472D">
      <w:pPr>
        <w:spacing w:before="0" w:after="120"/>
        <w:jc w:val="both"/>
      </w:pPr>
      <w:r>
        <w:rPr>
          <w:rFonts w:eastAsia="Times New Roman"/>
        </w:rPr>
        <w:t xml:space="preserve">S’agissant des </w:t>
      </w:r>
      <w:r w:rsidRPr="000B5559">
        <w:rPr>
          <w:rFonts w:eastAsia="Times New Roman"/>
          <w:b/>
        </w:rPr>
        <w:t>préoccupations environnementales et/ou sociales</w:t>
      </w:r>
      <w:r>
        <w:rPr>
          <w:rFonts w:eastAsia="Times New Roman"/>
        </w:rPr>
        <w:t xml:space="preserve">, elles </w:t>
      </w:r>
      <w:r w:rsidRPr="00B41728">
        <w:rPr>
          <w:rFonts w:eastAsia="Times New Roman"/>
        </w:rPr>
        <w:t>peuven</w:t>
      </w:r>
      <w:r>
        <w:rPr>
          <w:rFonts w:eastAsia="Times New Roman"/>
        </w:rPr>
        <w:t xml:space="preserve">t être prises en compte via des </w:t>
      </w:r>
      <w:r w:rsidRPr="00B41728">
        <w:rPr>
          <w:rFonts w:eastAsia="Times New Roman"/>
        </w:rPr>
        <w:t>labels ou les écolabels attribués par des organismes indépendants</w:t>
      </w:r>
      <w:r>
        <w:rPr>
          <w:rStyle w:val="Appelnotedebasdep"/>
          <w:rFonts w:eastAsia="Times New Roman"/>
        </w:rPr>
        <w:footnoteReference w:id="4"/>
      </w:r>
      <w:r w:rsidRPr="00B41728">
        <w:rPr>
          <w:rFonts w:eastAsia="Times New Roman"/>
        </w:rPr>
        <w:t>.</w:t>
      </w:r>
      <w:r>
        <w:rPr>
          <w:rFonts w:eastAsia="Times New Roman"/>
        </w:rPr>
        <w:t xml:space="preserve"> </w:t>
      </w:r>
      <w:r w:rsidRPr="006B4BF2">
        <w:rPr>
          <w:rFonts w:eastAsia="Times New Roman"/>
        </w:rPr>
        <w:t xml:space="preserve">Le recours à un label par l’acheteur impose le respect de diverses conditions prévues par les articles </w:t>
      </w:r>
      <w:hyperlink r:id="rId26" w:history="1">
        <w:r w:rsidRPr="006C1AB4">
          <w:rPr>
            <w:rStyle w:val="Lienhypertexte"/>
            <w:rFonts w:eastAsia="Times New Roman"/>
          </w:rPr>
          <w:t>R. 2111-14</w:t>
        </w:r>
      </w:hyperlink>
      <w:r w:rsidRPr="006B4BF2">
        <w:rPr>
          <w:rFonts w:eastAsia="Times New Roman"/>
        </w:rPr>
        <w:t xml:space="preserve"> et </w:t>
      </w:r>
      <w:hyperlink r:id="rId27" w:history="1">
        <w:r w:rsidRPr="006C1AB4">
          <w:rPr>
            <w:rStyle w:val="Lienhypertexte"/>
            <w:rFonts w:eastAsia="Times New Roman"/>
          </w:rPr>
          <w:t>R. 2111-15</w:t>
        </w:r>
      </w:hyperlink>
      <w:r w:rsidRPr="006B4BF2">
        <w:rPr>
          <w:rFonts w:eastAsia="Times New Roman"/>
        </w:rPr>
        <w:t xml:space="preserve"> du </w:t>
      </w:r>
      <w:r w:rsidR="001E6A33">
        <w:rPr>
          <w:rFonts w:eastAsia="Times New Roman"/>
        </w:rPr>
        <w:t>CCP</w:t>
      </w:r>
      <w:r w:rsidR="004B6873">
        <w:rPr>
          <w:rFonts w:eastAsia="Times New Roman"/>
        </w:rPr>
        <w:t>. E</w:t>
      </w:r>
      <w:r w:rsidR="0005174B">
        <w:rPr>
          <w:rFonts w:eastAsia="Times New Roman"/>
        </w:rPr>
        <w:t>n particulier le label doit r</w:t>
      </w:r>
      <w:r w:rsidR="0005174B">
        <w:t>eposer sur des critères objectivement vérifiables et non-discriminatoires et ses conditions d'obtention doivent être fixées et être accessibles à toute personne intéressée.</w:t>
      </w:r>
    </w:p>
    <w:p w14:paraId="5A44526F" w14:textId="77CE627A" w:rsidR="006B2B67" w:rsidRDefault="006B2B67" w:rsidP="006B2B67">
      <w:pPr>
        <w:pStyle w:val="Titre4"/>
        <w:rPr>
          <w:rFonts w:eastAsia="Times New Roman"/>
        </w:rPr>
      </w:pPr>
      <w:r w:rsidRPr="006B2B67">
        <w:rPr>
          <w:rFonts w:eastAsia="Times New Roman"/>
        </w:rPr>
        <w:t>L</w:t>
      </w:r>
      <w:r>
        <w:rPr>
          <w:rFonts w:eastAsia="Times New Roman"/>
        </w:rPr>
        <w:t>a définition fonctionnelle, un outil d’ouverture aux solutions techniques</w:t>
      </w:r>
    </w:p>
    <w:p w14:paraId="3A79859D" w14:textId="49755CFF" w:rsidR="00CF4CBC" w:rsidRDefault="00D94979" w:rsidP="00A1763F">
      <w:pPr>
        <w:spacing w:after="120"/>
        <w:jc w:val="both"/>
        <w:rPr>
          <w:rFonts w:eastAsia="Times New Roman"/>
        </w:rPr>
      </w:pPr>
      <w:r>
        <w:rPr>
          <w:rFonts w:eastAsia="Times New Roman"/>
        </w:rPr>
        <w:t>Pendant longtemps</w:t>
      </w:r>
      <w:r w:rsidR="00171839">
        <w:rPr>
          <w:rFonts w:eastAsia="Times New Roman"/>
        </w:rPr>
        <w:t xml:space="preserve">, </w:t>
      </w:r>
      <w:r>
        <w:rPr>
          <w:rFonts w:eastAsia="Times New Roman"/>
        </w:rPr>
        <w:t xml:space="preserve">les consultations ont été marquées par des spécifications très précises, </w:t>
      </w:r>
      <w:r w:rsidR="00171839">
        <w:rPr>
          <w:rFonts w:eastAsia="Times New Roman"/>
        </w:rPr>
        <w:t>en référence à des solutions déjà existantes et éprouvées par l’administration. Cette p</w:t>
      </w:r>
      <w:r>
        <w:rPr>
          <w:rFonts w:eastAsia="Times New Roman"/>
        </w:rPr>
        <w:t>ratique</w:t>
      </w:r>
      <w:r w:rsidR="00171839">
        <w:rPr>
          <w:rFonts w:eastAsia="Times New Roman"/>
        </w:rPr>
        <w:t xml:space="preserve"> peut freiner le développement de solutions innovantes</w:t>
      </w:r>
      <w:r w:rsidR="00CF4CBC">
        <w:rPr>
          <w:rFonts w:eastAsia="Times New Roman"/>
        </w:rPr>
        <w:t xml:space="preserve">. </w:t>
      </w:r>
      <w:r w:rsidR="00171839">
        <w:rPr>
          <w:rFonts w:eastAsia="Times New Roman"/>
        </w:rPr>
        <w:t>Elle n’est pas non plus gage d</w:t>
      </w:r>
      <w:r w:rsidR="00686F48">
        <w:rPr>
          <w:rFonts w:eastAsia="Times New Roman"/>
        </w:rPr>
        <w:t>e performance</w:t>
      </w:r>
      <w:r w:rsidR="00171839">
        <w:rPr>
          <w:rFonts w:eastAsia="Times New Roman"/>
        </w:rPr>
        <w:t xml:space="preserve"> de l’achat, </w:t>
      </w:r>
      <w:r w:rsidR="00A1763F">
        <w:rPr>
          <w:rFonts w:eastAsia="Times New Roman"/>
        </w:rPr>
        <w:t xml:space="preserve">la collectivité n’ayant pas toujours l’expérience ou les compétences </w:t>
      </w:r>
      <w:r w:rsidR="00FB41A5">
        <w:rPr>
          <w:rFonts w:eastAsia="Times New Roman"/>
        </w:rPr>
        <w:t xml:space="preserve">nécessaires </w:t>
      </w:r>
      <w:r w:rsidR="00A1763F">
        <w:rPr>
          <w:rFonts w:eastAsia="Times New Roman"/>
        </w:rPr>
        <w:t xml:space="preserve">pour présumer </w:t>
      </w:r>
      <w:r w:rsidR="00A53B58">
        <w:rPr>
          <w:rFonts w:eastAsia="Times New Roman"/>
        </w:rPr>
        <w:t xml:space="preserve">de la meilleure façon de répondre à ses </w:t>
      </w:r>
      <w:r w:rsidR="00DF79FE">
        <w:rPr>
          <w:rFonts w:eastAsia="Times New Roman"/>
        </w:rPr>
        <w:t>attentes</w:t>
      </w:r>
      <w:r w:rsidR="00A53B58">
        <w:rPr>
          <w:rFonts w:eastAsia="Times New Roman"/>
        </w:rPr>
        <w:t xml:space="preserve">. </w:t>
      </w:r>
    </w:p>
    <w:p w14:paraId="062337E9" w14:textId="73C0630E" w:rsidR="001F483D" w:rsidRDefault="00FE49DB" w:rsidP="005E61ED">
      <w:pPr>
        <w:pStyle w:val="Encart"/>
        <w:pBdr>
          <w:top w:val="dashed" w:sz="18" w:space="2" w:color="1F4E79" w:themeColor="accent1" w:themeShade="80"/>
        </w:pBdr>
      </w:pPr>
      <w:r w:rsidRPr="00FE49DB">
        <w:lastRenderedPageBreak/>
        <w:t>Les acheteurs sont</w:t>
      </w:r>
      <w:r w:rsidR="0039658C">
        <w:t xml:space="preserve"> désormais</w:t>
      </w:r>
      <w:r w:rsidRPr="00FE49DB">
        <w:t xml:space="preserve"> incités à procéder </w:t>
      </w:r>
      <w:r w:rsidR="00337317">
        <w:t xml:space="preserve">plus souvent </w:t>
      </w:r>
      <w:r w:rsidRPr="00FE49DB">
        <w:t>à une d</w:t>
      </w:r>
      <w:r w:rsidR="009A73E6">
        <w:t xml:space="preserve">éfinition </w:t>
      </w:r>
      <w:r w:rsidRPr="00FE49DB">
        <w:t xml:space="preserve">fonctionnelle des besoins, qui ne prescrit </w:t>
      </w:r>
      <w:r w:rsidR="00FE77CF" w:rsidRPr="00FE49DB">
        <w:t>pas</w:t>
      </w:r>
      <w:r w:rsidR="00FE77CF">
        <w:t xml:space="preserve"> </w:t>
      </w:r>
      <w:r w:rsidR="002B4F0F">
        <w:t xml:space="preserve">précisément </w:t>
      </w:r>
      <w:r w:rsidRPr="00FE49DB">
        <w:t>les moyens</w:t>
      </w:r>
      <w:r w:rsidR="001F483D">
        <w:t xml:space="preserve"> ou </w:t>
      </w:r>
      <w:r w:rsidR="00FE77CF">
        <w:t>techniques</w:t>
      </w:r>
      <w:r w:rsidRPr="00FE49DB">
        <w:t xml:space="preserve"> à mettre en œuvre, mais plutôt le </w:t>
      </w:r>
      <w:r w:rsidRPr="00FE49DB">
        <w:rPr>
          <w:b/>
        </w:rPr>
        <w:t xml:space="preserve">résultat </w:t>
      </w:r>
      <w:r w:rsidR="001F483D">
        <w:rPr>
          <w:b/>
        </w:rPr>
        <w:t>et</w:t>
      </w:r>
      <w:r w:rsidRPr="00FE49DB">
        <w:rPr>
          <w:b/>
        </w:rPr>
        <w:t xml:space="preserve"> les performances à atteindre</w:t>
      </w:r>
      <w:r w:rsidRPr="00FE49DB">
        <w:t xml:space="preserve"> dans un cadre donné</w:t>
      </w:r>
      <w:r w:rsidR="00337317">
        <w:t>, ainsi que les moyens de le</w:t>
      </w:r>
      <w:r w:rsidR="00F83027">
        <w:t>s</w:t>
      </w:r>
      <w:r w:rsidR="00337317">
        <w:t xml:space="preserve"> contrôler</w:t>
      </w:r>
      <w:r w:rsidRPr="00FE49DB">
        <w:t xml:space="preserve">. </w:t>
      </w:r>
    </w:p>
    <w:p w14:paraId="045A03F9" w14:textId="1C418C20" w:rsidR="001A0B88" w:rsidRDefault="005E61ED" w:rsidP="005E61ED">
      <w:pPr>
        <w:tabs>
          <w:tab w:val="left" w:pos="709"/>
          <w:tab w:val="left" w:pos="1276"/>
        </w:tabs>
        <w:spacing w:after="0"/>
        <w:jc w:val="both"/>
        <w:rPr>
          <w:rFonts w:eastAsia="Times New Roman"/>
        </w:rPr>
      </w:pPr>
      <w:r w:rsidRPr="00D6508D">
        <w:rPr>
          <w:noProof/>
          <w:lang w:eastAsia="fr-FR"/>
        </w:rPr>
        <w:drawing>
          <wp:anchor distT="0" distB="0" distL="114300" distR="114300" simplePos="0" relativeHeight="251779072" behindDoc="1" locked="0" layoutInCell="1" allowOverlap="1" wp14:anchorId="74C183EB" wp14:editId="4B5EDA33">
            <wp:simplePos x="0" y="0"/>
            <wp:positionH relativeFrom="margin">
              <wp:align>left</wp:align>
            </wp:positionH>
            <wp:positionV relativeFrom="paragraph">
              <wp:posOffset>5715</wp:posOffset>
            </wp:positionV>
            <wp:extent cx="661670" cy="661670"/>
            <wp:effectExtent l="0" t="0" r="5080" b="5080"/>
            <wp:wrapTight wrapText="bothSides">
              <wp:wrapPolygon edited="0">
                <wp:start x="8084" y="0"/>
                <wp:lineTo x="0" y="7463"/>
                <wp:lineTo x="0" y="9328"/>
                <wp:lineTo x="2488" y="21144"/>
                <wp:lineTo x="16791" y="21144"/>
                <wp:lineTo x="21144" y="12438"/>
                <wp:lineTo x="21144" y="7463"/>
                <wp:lineTo x="11816" y="0"/>
                <wp:lineTo x="8084" y="0"/>
              </wp:wrapPolygon>
            </wp:wrapTight>
            <wp:docPr id="39" name="Image 39" descr="K:\1ESD\1C\COMMUN1C\06. OECP\3 - GT OECP\GT_acces-TPE-PME\Projet de guide\Icônes\question-class-note-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1ESD\1C\COMMUN1C\06. OECP\3 - GT OECP\GT_acces-TPE-PME\Projet de guide\Icônes\question-class-note-symbol.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61670" cy="6616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imes New Roman"/>
        </w:rPr>
        <w:t xml:space="preserve">    </w:t>
      </w:r>
      <w:r w:rsidR="003C582E">
        <w:rPr>
          <w:rFonts w:eastAsia="Times New Roman"/>
        </w:rPr>
        <w:t>La démarche fonctionnelle parait relativement évidente pour les</w:t>
      </w:r>
      <w:r w:rsidR="00D6508D">
        <w:rPr>
          <w:rFonts w:eastAsia="Times New Roman"/>
        </w:rPr>
        <w:t xml:space="preserve"> besoins émergents ou nouveaux, </w:t>
      </w:r>
      <w:r w:rsidR="003C582E">
        <w:rPr>
          <w:rFonts w:eastAsia="Times New Roman"/>
        </w:rPr>
        <w:t xml:space="preserve">mais elle est également appropriée aux segments d’achats plus courants, répétitifs. </w:t>
      </w:r>
      <w:r w:rsidR="000F5985">
        <w:rPr>
          <w:rFonts w:eastAsia="Times New Roman"/>
        </w:rPr>
        <w:t xml:space="preserve">Elle </w:t>
      </w:r>
      <w:r w:rsidR="003C582E" w:rsidRPr="00C10BAC">
        <w:rPr>
          <w:rFonts w:eastAsia="Times New Roman"/>
        </w:rPr>
        <w:t>permet en effet de ne pas enf</w:t>
      </w:r>
      <w:r w:rsidR="00A16FB1">
        <w:rPr>
          <w:rFonts w:eastAsia="Times New Roman"/>
        </w:rPr>
        <w:t xml:space="preserve">ermer l’achat dans une routine et </w:t>
      </w:r>
      <w:r w:rsidR="003C582E" w:rsidRPr="00C10BAC">
        <w:rPr>
          <w:rFonts w:eastAsia="Times New Roman"/>
        </w:rPr>
        <w:t>de limiter l</w:t>
      </w:r>
      <w:r w:rsidR="00D6508D">
        <w:rPr>
          <w:rFonts w:eastAsia="Times New Roman"/>
        </w:rPr>
        <w:t xml:space="preserve">a reconduction systématique des </w:t>
      </w:r>
      <w:r w:rsidR="003C582E" w:rsidRPr="00C10BAC">
        <w:rPr>
          <w:rFonts w:eastAsia="Times New Roman"/>
        </w:rPr>
        <w:t>mêmes procédés</w:t>
      </w:r>
      <w:r w:rsidR="008E0C8E">
        <w:rPr>
          <w:rFonts w:eastAsia="Times New Roman"/>
        </w:rPr>
        <w:t xml:space="preserve"> en réexaminant les besoins avec un regard neuf.</w:t>
      </w:r>
    </w:p>
    <w:p w14:paraId="0734F788" w14:textId="6AAEA7AF" w:rsidR="001A0B88" w:rsidRDefault="001A0B88" w:rsidP="001A0B88">
      <w:pPr>
        <w:spacing w:after="80"/>
        <w:jc w:val="both"/>
        <w:rPr>
          <w:rFonts w:eastAsia="Times New Roman"/>
        </w:rPr>
      </w:pPr>
      <w:r w:rsidRPr="00795E4E">
        <w:rPr>
          <w:rFonts w:eastAsia="Times New Roman"/>
        </w:rPr>
        <w:t xml:space="preserve">Le fait de proposer une définition fonctionnelle du besoin réduit également le risque de reprendre dans le cahier des charges des spécifications techniques qui pourraient être protégées par des droits de propriété intellectuelle (brevet, </w:t>
      </w:r>
      <w:r>
        <w:rPr>
          <w:rFonts w:eastAsia="Times New Roman"/>
        </w:rPr>
        <w:t xml:space="preserve">savoir-faire) </w:t>
      </w:r>
      <w:r w:rsidRPr="00795E4E">
        <w:rPr>
          <w:rFonts w:eastAsia="Times New Roman"/>
        </w:rPr>
        <w:t>d’opérateurs économiques, au risque de méconnaître leurs droits ou de fermer la concurrence du fait de leur exclusivité sur ces éléments.</w:t>
      </w:r>
    </w:p>
    <w:p w14:paraId="5EEEE1EE" w14:textId="69C5927D" w:rsidR="001A0B88" w:rsidRDefault="00027EDB" w:rsidP="005E61ED">
      <w:pPr>
        <w:tabs>
          <w:tab w:val="left" w:pos="709"/>
          <w:tab w:val="left" w:pos="1134"/>
        </w:tabs>
        <w:spacing w:after="120"/>
        <w:jc w:val="both"/>
        <w:rPr>
          <w:rFonts w:eastAsia="Times New Roman"/>
        </w:rPr>
      </w:pPr>
      <w:r w:rsidRPr="00027EDB">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3C582E">
        <w:rPr>
          <w:rFonts w:eastAsia="Times New Roman"/>
        </w:rPr>
        <w:t xml:space="preserve">Elle permet aussi de </w:t>
      </w:r>
      <w:r w:rsidR="003C582E" w:rsidRPr="006F2455">
        <w:rPr>
          <w:rFonts w:eastAsia="Times New Roman"/>
        </w:rPr>
        <w:t>stimuler la concurrence</w:t>
      </w:r>
      <w:r w:rsidR="003C582E">
        <w:rPr>
          <w:rFonts w:eastAsia="Times New Roman"/>
        </w:rPr>
        <w:t xml:space="preserve"> (renouvellement du vivier des fournisseurs) et d’améliorer le </w:t>
      </w:r>
      <w:r w:rsidR="003C582E" w:rsidRPr="000B5559">
        <w:rPr>
          <w:rFonts w:eastAsia="Times New Roman"/>
        </w:rPr>
        <w:t>rapport qualité/prix des prestations</w:t>
      </w:r>
      <w:r w:rsidR="003C582E">
        <w:rPr>
          <w:rFonts w:eastAsia="Times New Roman"/>
        </w:rPr>
        <w:t>, en évitant par exemple de prescrire par répétition u</w:t>
      </w:r>
      <w:r w:rsidR="000B5559">
        <w:rPr>
          <w:rFonts w:eastAsia="Times New Roman"/>
        </w:rPr>
        <w:t xml:space="preserve">n certain niveau de qualité </w:t>
      </w:r>
      <w:r w:rsidR="001E6A33">
        <w:rPr>
          <w:rFonts w:eastAsia="Times New Roman"/>
        </w:rPr>
        <w:t>qui ne</w:t>
      </w:r>
      <w:r w:rsidR="003C582E">
        <w:rPr>
          <w:rFonts w:eastAsia="Times New Roman"/>
        </w:rPr>
        <w:t xml:space="preserve"> serait plus </w:t>
      </w:r>
      <w:r w:rsidR="008E0C8E">
        <w:rPr>
          <w:rFonts w:eastAsia="Times New Roman"/>
        </w:rPr>
        <w:t xml:space="preserve">nécessaire ou </w:t>
      </w:r>
      <w:r w:rsidR="003C582E">
        <w:rPr>
          <w:rFonts w:eastAsia="Times New Roman"/>
        </w:rPr>
        <w:t>confor</w:t>
      </w:r>
      <w:r w:rsidR="008E0C8E">
        <w:rPr>
          <w:rFonts w:eastAsia="Times New Roman"/>
        </w:rPr>
        <w:t xml:space="preserve">me aux </w:t>
      </w:r>
      <w:r w:rsidR="000F5985">
        <w:rPr>
          <w:rFonts w:eastAsia="Times New Roman"/>
        </w:rPr>
        <w:t>usages</w:t>
      </w:r>
      <w:r w:rsidR="003C582E" w:rsidRPr="00FE49DB">
        <w:rPr>
          <w:rFonts w:eastAsia="Times New Roman"/>
        </w:rPr>
        <w:t>.</w:t>
      </w:r>
      <w:r w:rsidR="005061B9">
        <w:rPr>
          <w:rFonts w:eastAsia="Times New Roman"/>
        </w:rPr>
        <w:t xml:space="preserve"> </w:t>
      </w:r>
    </w:p>
    <w:p w14:paraId="1FEDA74F" w14:textId="5EC1121A" w:rsidR="008B6BD9" w:rsidRDefault="008B6BD9" w:rsidP="008B6BD9">
      <w:pPr>
        <w:spacing w:before="0" w:after="120"/>
        <w:jc w:val="both"/>
        <w:rPr>
          <w:rFonts w:eastAsia="Times New Roman"/>
        </w:rPr>
      </w:pPr>
      <w:r>
        <w:rPr>
          <w:rFonts w:eastAsia="Times New Roman"/>
        </w:rPr>
        <w:t xml:space="preserve">L’estimation et la </w:t>
      </w:r>
      <w:r w:rsidRPr="005061B9">
        <w:rPr>
          <w:rFonts w:eastAsia="Times New Roman"/>
          <w:b/>
        </w:rPr>
        <w:t>structuration financière</w:t>
      </w:r>
      <w:r>
        <w:rPr>
          <w:rFonts w:eastAsia="Times New Roman"/>
        </w:rPr>
        <w:t xml:space="preserve"> du marché constituent </w:t>
      </w:r>
      <w:r w:rsidRPr="00F37EDC">
        <w:rPr>
          <w:rFonts w:eastAsia="Times New Roman"/>
        </w:rPr>
        <w:t>en effet</w:t>
      </w:r>
      <w:r>
        <w:rPr>
          <w:rFonts w:eastAsia="Times New Roman"/>
        </w:rPr>
        <w:t xml:space="preserve"> un élément important de la définition du besoin. Par exemple, s’il est loisible à l’acheteur de passer des marchés sans montant minimum ni maximum, la communication aux candidats d’un montant prévisionnel de commandes (basé sur la bonne connaissance des consommations passées) sera de nature à leur donner la</w:t>
      </w:r>
      <w:r w:rsidRPr="00B01E93">
        <w:rPr>
          <w:rFonts w:eastAsia="Times New Roman"/>
        </w:rPr>
        <w:t xml:space="preserve"> visibilité </w:t>
      </w:r>
      <w:r>
        <w:rPr>
          <w:rFonts w:eastAsia="Times New Roman"/>
        </w:rPr>
        <w:t xml:space="preserve">et ainsi à maitriser le coût des prestations. </w:t>
      </w:r>
    </w:p>
    <w:p w14:paraId="7B383279" w14:textId="2D0672AB" w:rsidR="008B6BD9" w:rsidRPr="00F37EDC" w:rsidRDefault="008B6BD9" w:rsidP="005E61ED">
      <w:pPr>
        <w:spacing w:before="0" w:after="120"/>
        <w:jc w:val="both"/>
        <w:rPr>
          <w:rFonts w:eastAsia="Times New Roman"/>
        </w:rPr>
      </w:pPr>
      <w:r w:rsidRPr="00F37EDC">
        <w:rPr>
          <w:rFonts w:eastAsia="Times New Roman"/>
          <w:noProof/>
          <w:lang w:eastAsia="fr-FR"/>
        </w:rPr>
        <w:drawing>
          <wp:anchor distT="0" distB="0" distL="114300" distR="114300" simplePos="0" relativeHeight="251781120" behindDoc="1" locked="0" layoutInCell="1" allowOverlap="1" wp14:anchorId="35F555AD" wp14:editId="4C6AC29F">
            <wp:simplePos x="0" y="0"/>
            <wp:positionH relativeFrom="margin">
              <wp:align>right</wp:align>
            </wp:positionH>
            <wp:positionV relativeFrom="paragraph">
              <wp:posOffset>10160</wp:posOffset>
            </wp:positionV>
            <wp:extent cx="463550" cy="463550"/>
            <wp:effectExtent l="0" t="0" r="0" b="0"/>
            <wp:wrapTight wrapText="bothSides">
              <wp:wrapPolygon edited="0">
                <wp:start x="15978" y="0"/>
                <wp:lineTo x="0" y="6214"/>
                <wp:lineTo x="0" y="15978"/>
                <wp:lineTo x="3551" y="20416"/>
                <wp:lineTo x="9764" y="20416"/>
                <wp:lineTo x="10652" y="20416"/>
                <wp:lineTo x="15978" y="14203"/>
                <wp:lineTo x="20416" y="7101"/>
                <wp:lineTo x="20416" y="0"/>
                <wp:lineTo x="15978" y="0"/>
              </wp:wrapPolygon>
            </wp:wrapTight>
            <wp:docPr id="40" name="Image 40" descr="K:\1ESD\1C\COMMUN1C\11. Innovation\GT guide achats innovants\Projet de guide\Icônes\euro-price-t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1ESD\1C\COMMUN1C\11. Innovation\GT guide achats innovants\Projet de guide\Icônes\euro-price-tag.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7EDC">
        <w:rPr>
          <w:rFonts w:eastAsia="Times New Roman"/>
        </w:rPr>
        <w:t xml:space="preserve">L'acheteur doit envisager les prix planchers et plafonds pratiqués par les entreprises pour le niveau de qualité </w:t>
      </w:r>
      <w:r w:rsidR="00D03094">
        <w:rPr>
          <w:rFonts w:eastAsia="Times New Roman"/>
        </w:rPr>
        <w:t>voulu</w:t>
      </w:r>
      <w:r w:rsidRPr="00F37EDC">
        <w:rPr>
          <w:rFonts w:eastAsia="Times New Roman"/>
        </w:rPr>
        <w:t>. En fonction des types de marchés, il peut ainsi évaluer le montant approximatif de l'achat qui lui permet</w:t>
      </w:r>
      <w:r>
        <w:rPr>
          <w:rFonts w:eastAsia="Times New Roman"/>
        </w:rPr>
        <w:t>tra</w:t>
      </w:r>
      <w:r w:rsidRPr="00F37EDC">
        <w:rPr>
          <w:rFonts w:eastAsia="Times New Roman"/>
        </w:rPr>
        <w:t xml:space="preserve"> d'apprécier les offres des opérateurs</w:t>
      </w:r>
      <w:r>
        <w:rPr>
          <w:rFonts w:eastAsia="Times New Roman"/>
        </w:rPr>
        <w:t xml:space="preserve"> (et de détecter le cas échéant une </w:t>
      </w:r>
      <w:hyperlink w:anchor="_Fiche_10_:" w:history="1">
        <w:r w:rsidRPr="008B6BD9">
          <w:rPr>
            <w:rStyle w:val="Lienhypertexte"/>
            <w:rFonts w:eastAsia="Times New Roman"/>
          </w:rPr>
          <w:t>offre anormalement basse</w:t>
        </w:r>
      </w:hyperlink>
      <w:r>
        <w:rPr>
          <w:rFonts w:eastAsia="Times New Roman"/>
        </w:rPr>
        <w:t>)</w:t>
      </w:r>
      <w:r w:rsidRPr="00F37EDC">
        <w:rPr>
          <w:rFonts w:eastAsia="Times New Roman"/>
        </w:rPr>
        <w:t xml:space="preserve">. Etablir un processus de veille des prix sur les achats stratégiques ou économiquement importants est essentiel et </w:t>
      </w:r>
      <w:r>
        <w:rPr>
          <w:rFonts w:eastAsia="Times New Roman"/>
        </w:rPr>
        <w:t>servira aussi à</w:t>
      </w:r>
      <w:r w:rsidRPr="00F37EDC">
        <w:rPr>
          <w:rFonts w:eastAsia="Times New Roman"/>
        </w:rPr>
        <w:t xml:space="preserve"> rédiger des clauses pertinentes de révision de prix.</w:t>
      </w:r>
      <w:r w:rsidRPr="00F37EDC">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2AB0691E" w14:textId="65499465" w:rsidR="00027EDB" w:rsidRDefault="00027EDB" w:rsidP="00027EDB">
      <w:pPr>
        <w:spacing w:after="0"/>
        <w:jc w:val="both"/>
      </w:pPr>
      <w:r w:rsidRPr="001F483D">
        <w:t xml:space="preserve">Afin de déterminer les exigences fonctionnelles et ne pas « fermer » la consultation par trop de précisions techniques, il peut être intéressant de </w:t>
      </w:r>
      <w:r w:rsidRPr="004D2BFD">
        <w:rPr>
          <w:b/>
        </w:rPr>
        <w:t>distinguer des niveaux d’exigences</w:t>
      </w:r>
      <w:r w:rsidRPr="001F483D">
        <w:t xml:space="preserve"> permettant de différencier ce qui est primordial (ex : planning, contraintes techniques…) de ce qui ne l’est pas. </w:t>
      </w:r>
    </w:p>
    <w:p w14:paraId="31F54DA4" w14:textId="52CED908" w:rsidR="00027EDB" w:rsidRDefault="00027EDB" w:rsidP="008B6BD9">
      <w:pPr>
        <w:spacing w:before="0" w:after="180"/>
        <w:jc w:val="both"/>
      </w:pPr>
      <w:r>
        <w:t xml:space="preserve">Par exemple, la SNCF </w:t>
      </w:r>
      <w:r w:rsidRPr="00CF4CBC">
        <w:t>précise</w:t>
      </w:r>
      <w:r>
        <w:t xml:space="preserve"> dans les documents de la consultation </w:t>
      </w:r>
      <w:r w:rsidRPr="00CF4CBC">
        <w:t xml:space="preserve"> le niveau de flexibilité autorisé autour des objectifs de performance et des exigences fonctionnelles</w:t>
      </w:r>
      <w:r>
        <w:t xml:space="preserve"> : aucune flexibilité, faible, moyenne, importante. </w:t>
      </w:r>
    </w:p>
    <w:p w14:paraId="5BDD0ADC" w14:textId="77777777" w:rsidR="005E61ED" w:rsidRDefault="005E61ED" w:rsidP="005E61ED">
      <w:pPr>
        <w:spacing w:before="0" w:after="0" w:line="240" w:lineRule="auto"/>
        <w:jc w:val="both"/>
        <w:rPr>
          <w:rFonts w:eastAsia="Times New Roman"/>
        </w:rPr>
      </w:pPr>
      <w:r w:rsidRPr="006D739D">
        <w:rPr>
          <w:noProof/>
          <w:lang w:eastAsia="fr-FR"/>
        </w:rPr>
        <w:drawing>
          <wp:anchor distT="0" distB="0" distL="114300" distR="114300" simplePos="0" relativeHeight="251820032" behindDoc="0" locked="0" layoutInCell="1" allowOverlap="1" wp14:anchorId="446220E8" wp14:editId="039533EF">
            <wp:simplePos x="0" y="0"/>
            <wp:positionH relativeFrom="margin">
              <wp:align>left</wp:align>
            </wp:positionH>
            <wp:positionV relativeFrom="paragraph">
              <wp:posOffset>46559</wp:posOffset>
            </wp:positionV>
            <wp:extent cx="340995" cy="309245"/>
            <wp:effectExtent l="0" t="0" r="1905"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42271" cy="310619"/>
                    </a:xfrm>
                    <a:prstGeom prst="rect">
                      <a:avLst/>
                    </a:prstGeom>
                  </pic:spPr>
                </pic:pic>
              </a:graphicData>
            </a:graphic>
            <wp14:sizeRelH relativeFrom="page">
              <wp14:pctWidth>0</wp14:pctWidth>
            </wp14:sizeRelH>
            <wp14:sizeRelV relativeFrom="page">
              <wp14:pctHeight>0</wp14:pctHeight>
            </wp14:sizeRelV>
          </wp:anchor>
        </w:drawing>
      </w:r>
    </w:p>
    <w:p w14:paraId="49F675B6" w14:textId="77777777" w:rsidR="005E61ED" w:rsidRDefault="005E61ED" w:rsidP="005E61ED">
      <w:pPr>
        <w:spacing w:before="0"/>
        <w:jc w:val="both"/>
        <w:rPr>
          <w:rFonts w:eastAsia="Times New Roman"/>
        </w:rPr>
      </w:pPr>
      <w:r>
        <w:rPr>
          <w:rFonts w:eastAsia="Times New Roman"/>
        </w:rPr>
        <w:t>En synthèse, quelques points-</w:t>
      </w:r>
      <w:r w:rsidRPr="00FE49DB">
        <w:rPr>
          <w:rFonts w:eastAsia="Times New Roman"/>
        </w:rPr>
        <w:t>clé </w:t>
      </w:r>
      <w:r>
        <w:rPr>
          <w:rFonts w:eastAsia="Times New Roman"/>
        </w:rPr>
        <w:t xml:space="preserve">pour la mise en œuvre d’une définition fonctionnelle </w:t>
      </w:r>
      <w:r w:rsidRPr="00FE49DB">
        <w:rPr>
          <w:rFonts w:eastAsia="Times New Roman"/>
        </w:rPr>
        <w:t xml:space="preserve">: </w:t>
      </w:r>
    </w:p>
    <w:p w14:paraId="0F0E999E" w14:textId="77777777" w:rsidR="005E61ED" w:rsidRDefault="005E61ED" w:rsidP="005E61ED">
      <w:pPr>
        <w:pStyle w:val="Paragraphedeliste"/>
        <w:numPr>
          <w:ilvl w:val="0"/>
          <w:numId w:val="7"/>
        </w:numPr>
        <w:spacing w:before="0" w:after="0"/>
        <w:ind w:left="760" w:hanging="357"/>
        <w:contextualSpacing w:val="0"/>
        <w:jc w:val="both"/>
        <w:rPr>
          <w:rFonts w:eastAsia="Times New Roman"/>
        </w:rPr>
      </w:pPr>
      <w:r w:rsidRPr="00CF4CBC">
        <w:rPr>
          <w:rFonts w:eastAsia="Times New Roman"/>
        </w:rPr>
        <w:t xml:space="preserve">pour éviter les exigences fonctionnelles formulées de manière floue, on peut associer les performances à des </w:t>
      </w:r>
      <w:r w:rsidRPr="00CF4CBC">
        <w:rPr>
          <w:rFonts w:eastAsia="Times New Roman"/>
          <w:u w:val="single"/>
        </w:rPr>
        <w:t>éléments quantitatifs ou évaluables</w:t>
      </w:r>
      <w:r w:rsidRPr="00CF4CBC">
        <w:rPr>
          <w:rFonts w:eastAsia="Times New Roman"/>
        </w:rPr>
        <w:t xml:space="preserve"> (ex : temps de résistance au feu, degré de résistance à la chaleur, quantités produites…) ;</w:t>
      </w:r>
    </w:p>
    <w:p w14:paraId="3E27F55A" w14:textId="77777777" w:rsidR="005E61ED" w:rsidRDefault="005E61ED" w:rsidP="005E61ED">
      <w:pPr>
        <w:pStyle w:val="Paragraphedeliste"/>
        <w:numPr>
          <w:ilvl w:val="0"/>
          <w:numId w:val="7"/>
        </w:numPr>
        <w:spacing w:before="40" w:after="0"/>
        <w:ind w:left="760" w:hanging="357"/>
        <w:contextualSpacing w:val="0"/>
        <w:jc w:val="both"/>
        <w:rPr>
          <w:rFonts w:eastAsia="Times New Roman"/>
        </w:rPr>
      </w:pPr>
      <w:r w:rsidRPr="00CF4CBC">
        <w:rPr>
          <w:rFonts w:eastAsia="Times New Roman"/>
        </w:rPr>
        <w:t xml:space="preserve">lorsque l’initiative est laissée aux candidats sur les modalités techniques de la solution, les documents de la consultation doivent être clairs et exhaustifs sur les </w:t>
      </w:r>
      <w:r w:rsidRPr="00CF4CBC">
        <w:rPr>
          <w:rFonts w:eastAsia="Times New Roman"/>
          <w:u w:val="single"/>
        </w:rPr>
        <w:t>contraintes</w:t>
      </w:r>
      <w:r w:rsidRPr="00CF4CBC">
        <w:rPr>
          <w:rFonts w:eastAsia="Times New Roman"/>
        </w:rPr>
        <w:t xml:space="preserve"> </w:t>
      </w:r>
      <w:r w:rsidRPr="00CF4CBC">
        <w:rPr>
          <w:rFonts w:eastAsia="Times New Roman"/>
          <w:u w:val="single"/>
        </w:rPr>
        <w:t>qui encadrent cette liberté</w:t>
      </w:r>
      <w:r w:rsidRPr="00CF4CBC">
        <w:rPr>
          <w:rFonts w:eastAsia="Times New Roman"/>
        </w:rPr>
        <w:t>, sauf à susciter des offres irrégulières</w:t>
      </w:r>
      <w:r>
        <w:rPr>
          <w:rStyle w:val="Appelnotedebasdep"/>
          <w:rFonts w:eastAsia="Times New Roman"/>
        </w:rPr>
        <w:footnoteReference w:id="5"/>
      </w:r>
      <w:r w:rsidRPr="00CF4CBC">
        <w:rPr>
          <w:rFonts w:eastAsia="Times New Roman"/>
        </w:rPr>
        <w:t>. Il peut notamment s’agir de contraintes normatives, de contexte, liées à l’environnement dans lequel s’exécute la prestation, etc. ;</w:t>
      </w:r>
    </w:p>
    <w:p w14:paraId="1DFC44F4" w14:textId="1390E479" w:rsidR="005E61ED" w:rsidRDefault="005E61ED" w:rsidP="005E61ED">
      <w:pPr>
        <w:pStyle w:val="Paragraphedeliste"/>
        <w:numPr>
          <w:ilvl w:val="0"/>
          <w:numId w:val="7"/>
        </w:numPr>
        <w:spacing w:before="40" w:after="0"/>
        <w:ind w:left="760" w:hanging="357"/>
        <w:contextualSpacing w:val="0"/>
        <w:jc w:val="both"/>
        <w:rPr>
          <w:rFonts w:eastAsia="Times New Roman"/>
        </w:rPr>
      </w:pPr>
      <w:r w:rsidRPr="00CF4CBC">
        <w:rPr>
          <w:rFonts w:eastAsia="Times New Roman"/>
        </w:rPr>
        <w:t xml:space="preserve">il convient de limiter les </w:t>
      </w:r>
      <w:r w:rsidRPr="00CF4CBC">
        <w:rPr>
          <w:rFonts w:eastAsia="Times New Roman"/>
          <w:u w:val="single"/>
        </w:rPr>
        <w:t>conditions d’exécution</w:t>
      </w:r>
      <w:r w:rsidRPr="00CF4CBC">
        <w:rPr>
          <w:rFonts w:eastAsia="Times New Roman"/>
        </w:rPr>
        <w:t xml:space="preserve"> </w:t>
      </w:r>
      <w:r w:rsidRPr="00CF4CBC">
        <w:rPr>
          <w:rFonts w:eastAsia="Times New Roman"/>
          <w:u w:val="single"/>
        </w:rPr>
        <w:t>au strict nécessaire</w:t>
      </w:r>
      <w:r w:rsidRPr="00CF4CBC">
        <w:rPr>
          <w:rFonts w:eastAsia="Times New Roman"/>
        </w:rPr>
        <w:t>, ce qui permet de favoriser la flexibilité et donc une plus grande variété d’offre, mais également de limiter le coût de la prestation. Toute exigence ayant un coût, il revient d’arbitrer entre l</w:t>
      </w:r>
      <w:r>
        <w:rPr>
          <w:rFonts w:eastAsia="Times New Roman"/>
        </w:rPr>
        <w:t>’essentiel</w:t>
      </w:r>
      <w:r w:rsidR="009730C1">
        <w:rPr>
          <w:rFonts w:eastAsia="Times New Roman"/>
        </w:rPr>
        <w:t>, le nécessaire</w:t>
      </w:r>
      <w:r>
        <w:rPr>
          <w:rFonts w:eastAsia="Times New Roman"/>
        </w:rPr>
        <w:t xml:space="preserve"> </w:t>
      </w:r>
      <w:r w:rsidRPr="00CF4CBC">
        <w:rPr>
          <w:rFonts w:eastAsia="Times New Roman"/>
        </w:rPr>
        <w:t>e</w:t>
      </w:r>
      <w:r>
        <w:rPr>
          <w:rFonts w:eastAsia="Times New Roman"/>
        </w:rPr>
        <w:t>t le superflu </w:t>
      </w:r>
      <w:r w:rsidRPr="00CF4CBC">
        <w:rPr>
          <w:rFonts w:eastAsia="Times New Roman"/>
        </w:rPr>
        <w:t>;</w:t>
      </w:r>
    </w:p>
    <w:p w14:paraId="71EE1483" w14:textId="77777777" w:rsidR="005E61ED" w:rsidRDefault="005E61ED" w:rsidP="005E61ED">
      <w:pPr>
        <w:pStyle w:val="Paragraphedeliste"/>
        <w:numPr>
          <w:ilvl w:val="0"/>
          <w:numId w:val="7"/>
        </w:numPr>
        <w:spacing w:before="40" w:after="0"/>
        <w:ind w:left="760" w:hanging="357"/>
        <w:contextualSpacing w:val="0"/>
        <w:jc w:val="both"/>
        <w:rPr>
          <w:rFonts w:eastAsia="Times New Roman"/>
        </w:rPr>
      </w:pPr>
      <w:r w:rsidRPr="00CF4CBC">
        <w:rPr>
          <w:rFonts w:eastAsia="Times New Roman"/>
        </w:rPr>
        <w:lastRenderedPageBreak/>
        <w:t xml:space="preserve">élaborer la </w:t>
      </w:r>
      <w:r w:rsidRPr="00CF4CBC">
        <w:rPr>
          <w:rFonts w:eastAsia="Times New Roman"/>
          <w:u w:val="single"/>
        </w:rPr>
        <w:t>méthode d’évaluation</w:t>
      </w:r>
      <w:r w:rsidRPr="00CF4CBC">
        <w:rPr>
          <w:rFonts w:eastAsia="Times New Roman"/>
        </w:rPr>
        <w:t xml:space="preserve"> qui permettra de classer les offres, mais aussi de mesurer en cours d’exécution les résultats obtenus.</w:t>
      </w:r>
    </w:p>
    <w:p w14:paraId="5595D78E" w14:textId="77777777" w:rsidR="005E61ED" w:rsidRPr="00B41728" w:rsidRDefault="005E61ED" w:rsidP="005E61ED">
      <w:pPr>
        <w:pStyle w:val="Paragraphedeliste"/>
        <w:numPr>
          <w:ilvl w:val="0"/>
          <w:numId w:val="7"/>
        </w:numPr>
        <w:spacing w:before="40" w:after="180"/>
        <w:ind w:left="760" w:hanging="357"/>
        <w:contextualSpacing w:val="0"/>
        <w:jc w:val="both"/>
        <w:rPr>
          <w:rFonts w:eastAsia="Times New Roman"/>
        </w:rPr>
      </w:pPr>
      <w:r w:rsidRPr="00CF4CBC">
        <w:rPr>
          <w:rFonts w:eastAsia="Times New Roman"/>
          <w:bCs/>
        </w:rPr>
        <w:t xml:space="preserve">afin de respecter le principe de détermination préliminaire des besoins, les acheteurs devront </w:t>
      </w:r>
      <w:r w:rsidRPr="00237F38">
        <w:rPr>
          <w:rFonts w:eastAsia="Times New Roman"/>
          <w:bCs/>
          <w:u w:val="single"/>
        </w:rPr>
        <w:t xml:space="preserve">s’interdire de </w:t>
      </w:r>
      <w:r>
        <w:rPr>
          <w:rFonts w:eastAsia="Times New Roman"/>
          <w:bCs/>
          <w:u w:val="single"/>
        </w:rPr>
        <w:t xml:space="preserve">la </w:t>
      </w:r>
      <w:r w:rsidRPr="00237F38">
        <w:rPr>
          <w:rFonts w:eastAsia="Times New Roman"/>
          <w:bCs/>
          <w:u w:val="single"/>
        </w:rPr>
        <w:t>modifier</w:t>
      </w:r>
      <w:r w:rsidRPr="00CF4CBC">
        <w:rPr>
          <w:rFonts w:eastAsia="Times New Roman"/>
          <w:bCs/>
        </w:rPr>
        <w:t>, notamment en MAPA, au fur et à mesure de la procédure, au motif qu’il s’agit d’une négociation avec les entreprises.</w:t>
      </w:r>
    </w:p>
    <w:p w14:paraId="011348D0" w14:textId="707B4710" w:rsidR="005E61ED" w:rsidRPr="00027EDB" w:rsidRDefault="005E61ED" w:rsidP="005E61ED">
      <w:pPr>
        <w:spacing w:before="0" w:after="180"/>
        <w:jc w:val="both"/>
      </w:pPr>
      <w:r>
        <w:t>Pour aller plus loin, vous pouvez consulter </w:t>
      </w:r>
      <w:r>
        <w:rPr>
          <w:rFonts w:eastAsia="Times New Roman"/>
        </w:rPr>
        <w:t>la</w:t>
      </w:r>
      <w:r w:rsidRPr="00613DC9">
        <w:rPr>
          <w:rFonts w:eastAsia="Times New Roman"/>
        </w:rPr>
        <w:t xml:space="preserve"> fiche de la DAJ dédiée à la </w:t>
      </w:r>
      <w:hyperlink r:id="rId30" w:history="1">
        <w:r w:rsidRPr="00613DC9">
          <w:rPr>
            <w:rStyle w:val="Lienhypertexte"/>
            <w:rFonts w:eastAsia="Times New Roman"/>
          </w:rPr>
          <w:t>définition du besoin</w:t>
        </w:r>
      </w:hyperlink>
    </w:p>
    <w:p w14:paraId="6AE8AAEE" w14:textId="0B608887" w:rsidR="00CB4BEC" w:rsidRPr="008A4C49" w:rsidRDefault="008A4C49" w:rsidP="000268A0">
      <w:pPr>
        <w:pStyle w:val="Exemple"/>
        <w:framePr w:wrap="around"/>
        <w:spacing w:after="120" w:line="252" w:lineRule="auto"/>
        <w:jc w:val="center"/>
        <w:rPr>
          <w:b/>
          <w:sz w:val="18"/>
        </w:rPr>
      </w:pPr>
      <w:r w:rsidRPr="008A4C49">
        <w:rPr>
          <w:b/>
          <w:sz w:val="18"/>
        </w:rPr>
        <w:t>Extrait d’une</w:t>
      </w:r>
      <w:r w:rsidR="001451C9" w:rsidRPr="008A4C49">
        <w:rPr>
          <w:b/>
          <w:sz w:val="18"/>
        </w:rPr>
        <w:t xml:space="preserve"> d</w:t>
      </w:r>
      <w:r w:rsidR="0013472D" w:rsidRPr="008A4C49">
        <w:rPr>
          <w:b/>
          <w:sz w:val="18"/>
        </w:rPr>
        <w:t xml:space="preserve">escription fonctionnelle </w:t>
      </w:r>
      <w:r w:rsidR="00CB4BEC" w:rsidRPr="008A4C49">
        <w:rPr>
          <w:b/>
          <w:sz w:val="18"/>
        </w:rPr>
        <w:t xml:space="preserve">réalisée par l’UGAP </w:t>
      </w:r>
      <w:r w:rsidR="001A0B88">
        <w:rPr>
          <w:b/>
          <w:sz w:val="18"/>
        </w:rPr>
        <w:t xml:space="preserve">dans le cadre d’une </w:t>
      </w:r>
      <w:r w:rsidR="00CB4BEC" w:rsidRPr="008A4C49">
        <w:rPr>
          <w:b/>
          <w:sz w:val="18"/>
        </w:rPr>
        <w:t>consultation relative à la fourniture de véhicules électriques :</w:t>
      </w:r>
    </w:p>
    <w:p w14:paraId="19E4301B" w14:textId="31D84EA2" w:rsidR="00613DC9" w:rsidRPr="005E61ED" w:rsidRDefault="001451C9" w:rsidP="000268A0">
      <w:pPr>
        <w:pStyle w:val="Exemple"/>
        <w:framePr w:wrap="around"/>
        <w:spacing w:after="0" w:line="252" w:lineRule="auto"/>
        <w:rPr>
          <w:sz w:val="18"/>
          <w:szCs w:val="18"/>
        </w:rPr>
      </w:pPr>
      <w:r w:rsidRPr="005E61ED">
        <w:rPr>
          <w:sz w:val="18"/>
          <w:szCs w:val="18"/>
        </w:rPr>
        <w:t xml:space="preserve">- </w:t>
      </w:r>
      <w:r w:rsidR="00613DC9" w:rsidRPr="005E61ED">
        <w:rPr>
          <w:sz w:val="18"/>
          <w:szCs w:val="18"/>
          <w:u w:val="single"/>
        </w:rPr>
        <w:t>présentation générale du besoin</w:t>
      </w:r>
      <w:r w:rsidR="00613DC9" w:rsidRPr="005E61ED">
        <w:rPr>
          <w:sz w:val="18"/>
          <w:szCs w:val="18"/>
        </w:rPr>
        <w:t> : La variété des utilisations des véhicules est très grande. Ceux-ci parcourent entre 6 000 et 20 000 km par an, sur tout type de voies (urbaine, périurbaine, routes extra urbaines, autoroutes).</w:t>
      </w:r>
    </w:p>
    <w:p w14:paraId="09B06338" w14:textId="756DE3E6" w:rsidR="00613DC9" w:rsidRPr="005E61ED" w:rsidRDefault="00613DC9" w:rsidP="000268A0">
      <w:pPr>
        <w:pStyle w:val="Exemple"/>
        <w:framePr w:wrap="around"/>
        <w:spacing w:after="0" w:line="252" w:lineRule="auto"/>
        <w:rPr>
          <w:sz w:val="18"/>
          <w:szCs w:val="18"/>
        </w:rPr>
      </w:pPr>
      <w:r w:rsidRPr="005E61ED">
        <w:rPr>
          <w:sz w:val="18"/>
          <w:szCs w:val="18"/>
        </w:rPr>
        <w:t>Les principales missions pour lesquels les véhicules électriques sont utilisés sont, avec comme contraintes spécifiques :</w:t>
      </w:r>
    </w:p>
    <w:p w14:paraId="4EDB10FE" w14:textId="01B9F191" w:rsidR="00613DC9" w:rsidRPr="005E61ED" w:rsidRDefault="00613DC9" w:rsidP="000268A0">
      <w:pPr>
        <w:pStyle w:val="Exemple"/>
        <w:framePr w:wrap="around"/>
        <w:spacing w:after="0" w:line="252" w:lineRule="auto"/>
        <w:rPr>
          <w:sz w:val="18"/>
          <w:szCs w:val="18"/>
        </w:rPr>
      </w:pPr>
      <w:r w:rsidRPr="005E61ED">
        <w:rPr>
          <w:sz w:val="18"/>
          <w:szCs w:val="18"/>
        </w:rPr>
        <w:t>- le transport de marchandises : environnement urbain (maniabilité), véhicule chargé</w:t>
      </w:r>
      <w:r w:rsidR="00D45205" w:rsidRPr="005E61ED">
        <w:rPr>
          <w:sz w:val="18"/>
          <w:szCs w:val="18"/>
        </w:rPr>
        <w:t> ;</w:t>
      </w:r>
    </w:p>
    <w:p w14:paraId="4527BC36" w14:textId="0F3A26E7" w:rsidR="00613DC9" w:rsidRPr="005E61ED" w:rsidRDefault="00613DC9" w:rsidP="000268A0">
      <w:pPr>
        <w:pStyle w:val="Exemple"/>
        <w:framePr w:wrap="around"/>
        <w:spacing w:after="0" w:line="252" w:lineRule="auto"/>
        <w:rPr>
          <w:sz w:val="18"/>
          <w:szCs w:val="18"/>
        </w:rPr>
      </w:pPr>
      <w:r w:rsidRPr="005E61ED">
        <w:rPr>
          <w:sz w:val="18"/>
          <w:szCs w:val="18"/>
        </w:rPr>
        <w:t>- le transport de personnes : confort, autonomie</w:t>
      </w:r>
      <w:r w:rsidR="00D45205" w:rsidRPr="005E61ED">
        <w:rPr>
          <w:sz w:val="18"/>
          <w:szCs w:val="18"/>
        </w:rPr>
        <w:t> ;</w:t>
      </w:r>
    </w:p>
    <w:p w14:paraId="206C3897" w14:textId="5CD4C6B4" w:rsidR="00613DC9" w:rsidRPr="005E61ED" w:rsidRDefault="00613DC9" w:rsidP="000268A0">
      <w:pPr>
        <w:pStyle w:val="Exemple"/>
        <w:framePr w:wrap="around"/>
        <w:spacing w:after="0" w:line="252" w:lineRule="auto"/>
        <w:rPr>
          <w:sz w:val="18"/>
          <w:szCs w:val="18"/>
        </w:rPr>
      </w:pPr>
      <w:r w:rsidRPr="005E61ED">
        <w:rPr>
          <w:sz w:val="18"/>
          <w:szCs w:val="18"/>
        </w:rPr>
        <w:t>- l'intervention sur le terrain : disponibilité, fiabilité, autonomie</w:t>
      </w:r>
      <w:r w:rsidR="00D45205" w:rsidRPr="005E61ED">
        <w:rPr>
          <w:sz w:val="18"/>
          <w:szCs w:val="18"/>
        </w:rPr>
        <w:t> ;</w:t>
      </w:r>
    </w:p>
    <w:p w14:paraId="7023FFCC" w14:textId="0FF717B3" w:rsidR="00613DC9" w:rsidRPr="005E61ED" w:rsidRDefault="00613DC9" w:rsidP="000268A0">
      <w:pPr>
        <w:pStyle w:val="Exemple"/>
        <w:framePr w:wrap="around"/>
        <w:spacing w:after="60" w:line="252" w:lineRule="auto"/>
        <w:rPr>
          <w:sz w:val="18"/>
          <w:szCs w:val="18"/>
        </w:rPr>
      </w:pPr>
      <w:r w:rsidRPr="005E61ED">
        <w:rPr>
          <w:sz w:val="18"/>
          <w:szCs w:val="18"/>
        </w:rPr>
        <w:t>- la distribution : arrêts fréquents, véhicule chargé</w:t>
      </w:r>
      <w:r w:rsidR="00D45205" w:rsidRPr="005E61ED">
        <w:rPr>
          <w:sz w:val="18"/>
          <w:szCs w:val="18"/>
        </w:rPr>
        <w:t>.</w:t>
      </w:r>
    </w:p>
    <w:p w14:paraId="08B3AA2F" w14:textId="3547CA7D" w:rsidR="001451C9" w:rsidRPr="005E61ED" w:rsidRDefault="00613DC9" w:rsidP="000268A0">
      <w:pPr>
        <w:pStyle w:val="Exemple"/>
        <w:framePr w:wrap="around"/>
        <w:spacing w:after="0" w:line="252" w:lineRule="auto"/>
        <w:rPr>
          <w:sz w:val="18"/>
          <w:szCs w:val="18"/>
        </w:rPr>
      </w:pPr>
      <w:r w:rsidRPr="005E61ED">
        <w:rPr>
          <w:sz w:val="18"/>
          <w:szCs w:val="18"/>
        </w:rPr>
        <w:t xml:space="preserve">- </w:t>
      </w:r>
      <w:r w:rsidR="001451C9" w:rsidRPr="005E61ED">
        <w:rPr>
          <w:sz w:val="18"/>
          <w:szCs w:val="18"/>
          <w:u w:val="single"/>
        </w:rPr>
        <w:t>type de véhicule</w:t>
      </w:r>
      <w:r w:rsidR="001451C9" w:rsidRPr="005E61ED">
        <w:rPr>
          <w:sz w:val="18"/>
          <w:szCs w:val="18"/>
        </w:rPr>
        <w:t xml:space="preserve"> : véhicule automobile 4 roues ; </w:t>
      </w:r>
    </w:p>
    <w:p w14:paraId="1B91E1B3" w14:textId="77777777" w:rsidR="001451C9" w:rsidRPr="005E61ED" w:rsidRDefault="001451C9" w:rsidP="000268A0">
      <w:pPr>
        <w:pStyle w:val="Exemple"/>
        <w:framePr w:wrap="around"/>
        <w:spacing w:after="60" w:line="252" w:lineRule="auto"/>
        <w:rPr>
          <w:sz w:val="18"/>
          <w:szCs w:val="18"/>
        </w:rPr>
      </w:pPr>
      <w:r w:rsidRPr="005E61ED">
        <w:rPr>
          <w:sz w:val="18"/>
          <w:szCs w:val="18"/>
        </w:rPr>
        <w:t>La motorisation doit être exclusivement électrique. Le moteur électrique est alimenté par des batteries.</w:t>
      </w:r>
      <w:r w:rsidR="0095618F" w:rsidRPr="005E61ED">
        <w:rPr>
          <w:sz w:val="18"/>
          <w:szCs w:val="18"/>
        </w:rPr>
        <w:tab/>
      </w:r>
    </w:p>
    <w:p w14:paraId="174DFE61" w14:textId="690D62F5" w:rsidR="002570FC" w:rsidRPr="005E61ED" w:rsidRDefault="008A4C49" w:rsidP="000268A0">
      <w:pPr>
        <w:pStyle w:val="Exemple"/>
        <w:framePr w:wrap="around"/>
        <w:spacing w:after="0" w:line="252" w:lineRule="auto"/>
        <w:rPr>
          <w:sz w:val="18"/>
          <w:szCs w:val="18"/>
        </w:rPr>
      </w:pPr>
      <w:r w:rsidRPr="005E61ED">
        <w:rPr>
          <w:sz w:val="18"/>
          <w:szCs w:val="18"/>
        </w:rPr>
        <w:t xml:space="preserve">- </w:t>
      </w:r>
      <w:r w:rsidRPr="005E61ED">
        <w:rPr>
          <w:sz w:val="18"/>
          <w:szCs w:val="18"/>
          <w:u w:val="single"/>
        </w:rPr>
        <w:t>charge et volume utiles</w:t>
      </w:r>
      <w:r w:rsidRPr="005E61ED">
        <w:rPr>
          <w:sz w:val="18"/>
          <w:szCs w:val="18"/>
        </w:rPr>
        <w:t> : l</w:t>
      </w:r>
      <w:r w:rsidR="001451C9" w:rsidRPr="005E61ED">
        <w:rPr>
          <w:sz w:val="18"/>
          <w:szCs w:val="18"/>
        </w:rPr>
        <w:t xml:space="preserve">e véhicule doit pouvoir transporter tous les objets / marchandises / personnes nécessaires à la réalisation des missions pour lesquelles il est utilisé. </w:t>
      </w:r>
    </w:p>
    <w:p w14:paraId="5BDD1DB1" w14:textId="73A3EFED" w:rsidR="008A4C49" w:rsidRPr="005E61ED" w:rsidRDefault="00613DC9" w:rsidP="000268A0">
      <w:pPr>
        <w:pStyle w:val="Exemple"/>
        <w:framePr w:wrap="around"/>
        <w:spacing w:after="0" w:line="252" w:lineRule="auto"/>
        <w:rPr>
          <w:sz w:val="18"/>
          <w:szCs w:val="18"/>
        </w:rPr>
      </w:pPr>
      <w:r w:rsidRPr="005E61ED">
        <w:rPr>
          <w:sz w:val="18"/>
          <w:szCs w:val="18"/>
        </w:rPr>
        <w:t xml:space="preserve">Type 1 (véhicule utilitaire léger d’un volume d’environ 3m) : </w:t>
      </w:r>
      <w:r w:rsidR="008A4C49" w:rsidRPr="005E61ED">
        <w:rPr>
          <w:sz w:val="18"/>
          <w:szCs w:val="18"/>
        </w:rPr>
        <w:t>600 kg environ</w:t>
      </w:r>
      <w:r w:rsidRPr="005E61ED">
        <w:rPr>
          <w:sz w:val="18"/>
          <w:szCs w:val="18"/>
        </w:rPr>
        <w:t xml:space="preserve"> - </w:t>
      </w:r>
      <w:r w:rsidR="008A4C49" w:rsidRPr="005E61ED">
        <w:rPr>
          <w:sz w:val="18"/>
          <w:szCs w:val="18"/>
        </w:rPr>
        <w:t>option : 800 kg</w:t>
      </w:r>
    </w:p>
    <w:p w14:paraId="5F0F09A0" w14:textId="4A53B502" w:rsidR="008A4C49" w:rsidRPr="005E61ED" w:rsidRDefault="008A4C49" w:rsidP="000268A0">
      <w:pPr>
        <w:pStyle w:val="Exemple"/>
        <w:framePr w:wrap="around"/>
        <w:spacing w:after="0" w:line="252" w:lineRule="auto"/>
        <w:rPr>
          <w:sz w:val="18"/>
          <w:szCs w:val="18"/>
        </w:rPr>
      </w:pPr>
      <w:r w:rsidRPr="005E61ED">
        <w:rPr>
          <w:sz w:val="18"/>
          <w:szCs w:val="18"/>
        </w:rPr>
        <w:t>Type 2</w:t>
      </w:r>
      <w:r w:rsidR="00613DC9" w:rsidRPr="005E61ED">
        <w:rPr>
          <w:sz w:val="18"/>
          <w:szCs w:val="18"/>
        </w:rPr>
        <w:t xml:space="preserve"> (véhicule compact 2 places d’un volume d’environ 1m3)</w:t>
      </w:r>
      <w:r w:rsidRPr="005E61ED">
        <w:rPr>
          <w:sz w:val="18"/>
          <w:szCs w:val="18"/>
        </w:rPr>
        <w:t xml:space="preserve"> : 400 kg environ</w:t>
      </w:r>
    </w:p>
    <w:p w14:paraId="5EF130A4" w14:textId="6D7E2102" w:rsidR="008A4C49" w:rsidRPr="005E61ED" w:rsidRDefault="008A4C49" w:rsidP="000268A0">
      <w:pPr>
        <w:pStyle w:val="Exemple"/>
        <w:framePr w:wrap="around"/>
        <w:spacing w:after="60" w:line="252" w:lineRule="auto"/>
        <w:rPr>
          <w:sz w:val="18"/>
          <w:szCs w:val="18"/>
        </w:rPr>
      </w:pPr>
      <w:r w:rsidRPr="005E61ED">
        <w:rPr>
          <w:sz w:val="18"/>
          <w:szCs w:val="18"/>
        </w:rPr>
        <w:t>Type 3</w:t>
      </w:r>
      <w:r w:rsidR="00613DC9" w:rsidRPr="005E61ED">
        <w:rPr>
          <w:sz w:val="18"/>
          <w:szCs w:val="18"/>
        </w:rPr>
        <w:t xml:space="preserve"> (véhicule particulier 4 ou 5 places)</w:t>
      </w:r>
      <w:r w:rsidRPr="005E61ED">
        <w:rPr>
          <w:sz w:val="18"/>
          <w:szCs w:val="18"/>
        </w:rPr>
        <w:t xml:space="preserve"> : 400 kg environ</w:t>
      </w:r>
    </w:p>
    <w:p w14:paraId="5FC3E675" w14:textId="14029202" w:rsidR="008A4C49" w:rsidRPr="005E61ED" w:rsidRDefault="008A4C49" w:rsidP="000268A0">
      <w:pPr>
        <w:framePr w:wrap="around" w:vAnchor="text" w:hAnchor="text" w:y="1"/>
        <w:pBdr>
          <w:top w:val="single" w:sz="12" w:space="1" w:color="5D2884" w:shadow="1"/>
          <w:left w:val="single" w:sz="12" w:space="4" w:color="5D2884" w:shadow="1"/>
          <w:bottom w:val="single" w:sz="12" w:space="1" w:color="5D2884" w:shadow="1"/>
          <w:right w:val="single" w:sz="12" w:space="4" w:color="5D2884" w:shadow="1"/>
        </w:pBdr>
        <w:autoSpaceDE w:val="0"/>
        <w:autoSpaceDN w:val="0"/>
        <w:adjustRightInd w:val="0"/>
        <w:spacing w:before="0" w:after="60" w:line="252" w:lineRule="auto"/>
        <w:jc w:val="both"/>
        <w:rPr>
          <w:rFonts w:eastAsia="Times New Roman"/>
          <w:sz w:val="18"/>
          <w:szCs w:val="18"/>
        </w:rPr>
      </w:pPr>
      <w:r w:rsidRPr="005E61ED">
        <w:rPr>
          <w:sz w:val="18"/>
          <w:szCs w:val="18"/>
        </w:rPr>
        <w:t xml:space="preserve">- </w:t>
      </w:r>
      <w:r w:rsidRPr="005E61ED">
        <w:rPr>
          <w:rFonts w:eastAsia="Times New Roman"/>
          <w:sz w:val="18"/>
          <w:szCs w:val="18"/>
          <w:u w:val="single"/>
        </w:rPr>
        <w:t>performances adaptées à l'usage urbain, périurbain et rural</w:t>
      </w:r>
      <w:r w:rsidRPr="005E61ED">
        <w:rPr>
          <w:rFonts w:eastAsia="Times New Roman"/>
          <w:sz w:val="18"/>
          <w:szCs w:val="18"/>
        </w:rPr>
        <w:t xml:space="preserve"> : le véhicule doit pouvoir </w:t>
      </w:r>
      <w:r w:rsidRPr="005E61ED">
        <w:rPr>
          <w:rFonts w:eastAsia="Times New Roman"/>
          <w:b/>
          <w:sz w:val="18"/>
          <w:szCs w:val="18"/>
        </w:rPr>
        <w:t>s'insérer dans tout type de circulation et sur tout type de voie en toute sécurité</w:t>
      </w:r>
      <w:r w:rsidRPr="005E61ED">
        <w:rPr>
          <w:rFonts w:eastAsia="Times New Roman"/>
          <w:sz w:val="18"/>
          <w:szCs w:val="18"/>
        </w:rPr>
        <w:t>. Ces performances (atteindre au moins 110 km/h, au maximum de la charge utile, accélération permettant une insertion sur les voies rapides) sont assurées quelles que soient les conditions climatiques et l'état de la batterie.</w:t>
      </w:r>
      <w:r w:rsidR="000B5559" w:rsidRPr="005E61ED">
        <w:rPr>
          <w:rFonts w:eastAsia="Times New Roman"/>
          <w:sz w:val="18"/>
          <w:szCs w:val="18"/>
        </w:rPr>
        <w:t xml:space="preserve"> </w:t>
      </w:r>
      <w:r w:rsidRPr="005E61ED">
        <w:rPr>
          <w:rFonts w:eastAsia="Times New Roman"/>
          <w:sz w:val="18"/>
          <w:szCs w:val="18"/>
        </w:rPr>
        <w:t xml:space="preserve">Le véhicule pourra être amené à rouler sur tout type de voies et il est indispensable qu'il puisse franchir des dos d'âne et des cassis, passer sur des chaussées mal entretenues, monter sur un trottoir sans difficulté. </w:t>
      </w:r>
    </w:p>
    <w:p w14:paraId="136B4946" w14:textId="607FB307" w:rsidR="008A4C49" w:rsidRPr="005E61ED" w:rsidRDefault="008A4C49" w:rsidP="000268A0">
      <w:pPr>
        <w:framePr w:wrap="around" w:vAnchor="text" w:hAnchor="text" w:y="1"/>
        <w:pBdr>
          <w:top w:val="single" w:sz="12" w:space="1" w:color="5D2884" w:shadow="1"/>
          <w:left w:val="single" w:sz="12" w:space="4" w:color="5D2884" w:shadow="1"/>
          <w:bottom w:val="single" w:sz="12" w:space="1" w:color="5D2884" w:shadow="1"/>
          <w:right w:val="single" w:sz="12" w:space="4" w:color="5D2884" w:shadow="1"/>
        </w:pBdr>
        <w:autoSpaceDE w:val="0"/>
        <w:autoSpaceDN w:val="0"/>
        <w:adjustRightInd w:val="0"/>
        <w:spacing w:before="0" w:after="60" w:line="252" w:lineRule="auto"/>
        <w:jc w:val="both"/>
        <w:rPr>
          <w:rFonts w:eastAsia="Times New Roman"/>
          <w:sz w:val="18"/>
          <w:szCs w:val="18"/>
        </w:rPr>
      </w:pPr>
      <w:r w:rsidRPr="005E61ED">
        <w:rPr>
          <w:rFonts w:eastAsia="Times New Roman"/>
          <w:sz w:val="18"/>
          <w:szCs w:val="18"/>
        </w:rPr>
        <w:t xml:space="preserve">- </w:t>
      </w:r>
      <w:r w:rsidRPr="005E61ED">
        <w:rPr>
          <w:rFonts w:eastAsia="Times New Roman"/>
          <w:sz w:val="18"/>
          <w:szCs w:val="18"/>
          <w:u w:val="single"/>
        </w:rPr>
        <w:t>autonomie</w:t>
      </w:r>
      <w:r w:rsidRPr="005E61ED">
        <w:rPr>
          <w:rFonts w:eastAsia="Times New Roman"/>
          <w:sz w:val="18"/>
          <w:szCs w:val="18"/>
        </w:rPr>
        <w:t xml:space="preserve"> : Le véhicule doit disposer d'une autonomie suffisante pour accomplir les missions pour lequel il est </w:t>
      </w:r>
      <w:r w:rsidR="00E23972" w:rsidRPr="005E61ED">
        <w:rPr>
          <w:rFonts w:eastAsia="Times New Roman"/>
          <w:sz w:val="18"/>
          <w:szCs w:val="18"/>
        </w:rPr>
        <w:t>utilisé</w:t>
      </w:r>
      <w:r w:rsidRPr="005E61ED">
        <w:rPr>
          <w:rFonts w:eastAsia="Times New Roman"/>
          <w:sz w:val="18"/>
          <w:szCs w:val="18"/>
        </w:rPr>
        <w:t>.</w:t>
      </w:r>
    </w:p>
    <w:p w14:paraId="1E040609" w14:textId="244996BF" w:rsidR="00E23972" w:rsidRPr="005E61ED" w:rsidRDefault="00E23972" w:rsidP="000268A0">
      <w:pPr>
        <w:framePr w:wrap="around" w:vAnchor="text" w:hAnchor="text" w:y="1"/>
        <w:pBdr>
          <w:top w:val="single" w:sz="12" w:space="1" w:color="5D2884" w:shadow="1"/>
          <w:left w:val="single" w:sz="12" w:space="4" w:color="5D2884" w:shadow="1"/>
          <w:bottom w:val="single" w:sz="12" w:space="1" w:color="5D2884" w:shadow="1"/>
          <w:right w:val="single" w:sz="12" w:space="4" w:color="5D2884" w:shadow="1"/>
        </w:pBdr>
        <w:autoSpaceDE w:val="0"/>
        <w:autoSpaceDN w:val="0"/>
        <w:adjustRightInd w:val="0"/>
        <w:spacing w:before="0" w:after="0" w:line="252" w:lineRule="auto"/>
        <w:jc w:val="both"/>
        <w:rPr>
          <w:rFonts w:eastAsia="Times New Roman"/>
          <w:sz w:val="18"/>
          <w:szCs w:val="18"/>
        </w:rPr>
      </w:pPr>
      <w:r w:rsidRPr="005E61ED">
        <w:rPr>
          <w:rFonts w:eastAsia="Times New Roman"/>
          <w:sz w:val="18"/>
          <w:szCs w:val="18"/>
        </w:rPr>
        <w:t xml:space="preserve">- </w:t>
      </w:r>
      <w:r w:rsidRPr="005E61ED">
        <w:rPr>
          <w:rFonts w:eastAsia="Times New Roman"/>
          <w:sz w:val="18"/>
          <w:szCs w:val="18"/>
          <w:u w:val="single"/>
        </w:rPr>
        <w:t>sécurité</w:t>
      </w:r>
      <w:r w:rsidRPr="005E61ED">
        <w:rPr>
          <w:rFonts w:eastAsia="Times New Roman"/>
          <w:sz w:val="18"/>
          <w:szCs w:val="18"/>
        </w:rPr>
        <w:t> : le véhicule doit être homologué pour circuler sur les voies publiques conformément au Code de la route</w:t>
      </w:r>
      <w:r w:rsidR="00027EDB" w:rsidRPr="005E61ED">
        <w:rPr>
          <w:rFonts w:eastAsia="Times New Roman"/>
          <w:sz w:val="18"/>
          <w:szCs w:val="18"/>
        </w:rPr>
        <w:t xml:space="preserve"> (…). </w:t>
      </w:r>
    </w:p>
    <w:p w14:paraId="3628E2FF" w14:textId="25F64B54" w:rsidR="00027EDB" w:rsidRPr="005E61ED" w:rsidRDefault="00027EDB" w:rsidP="000268A0">
      <w:pPr>
        <w:framePr w:wrap="around" w:vAnchor="text" w:hAnchor="text" w:y="1"/>
        <w:pBdr>
          <w:top w:val="single" w:sz="12" w:space="1" w:color="5D2884" w:shadow="1"/>
          <w:left w:val="single" w:sz="12" w:space="4" w:color="5D2884" w:shadow="1"/>
          <w:bottom w:val="single" w:sz="12" w:space="1" w:color="5D2884" w:shadow="1"/>
          <w:right w:val="single" w:sz="12" w:space="4" w:color="5D2884" w:shadow="1"/>
        </w:pBdr>
        <w:autoSpaceDE w:val="0"/>
        <w:autoSpaceDN w:val="0"/>
        <w:adjustRightInd w:val="0"/>
        <w:spacing w:before="0" w:after="0" w:line="252" w:lineRule="auto"/>
        <w:jc w:val="both"/>
        <w:rPr>
          <w:rFonts w:eastAsia="Times New Roman"/>
          <w:sz w:val="18"/>
          <w:szCs w:val="18"/>
        </w:rPr>
      </w:pPr>
      <w:r w:rsidRPr="005E61ED">
        <w:rPr>
          <w:rFonts w:eastAsia="Times New Roman"/>
          <w:sz w:val="18"/>
          <w:szCs w:val="18"/>
        </w:rPr>
        <w:t xml:space="preserve">Le véhicule doit être conçu de manière à avoir le </w:t>
      </w:r>
      <w:r w:rsidRPr="005E61ED">
        <w:rPr>
          <w:rFonts w:eastAsia="Times New Roman"/>
          <w:b/>
          <w:sz w:val="18"/>
          <w:szCs w:val="18"/>
        </w:rPr>
        <w:t>meilleur comportement routier possible</w:t>
      </w:r>
      <w:r w:rsidRPr="005E61ED">
        <w:rPr>
          <w:rFonts w:eastAsia="Times New Roman"/>
          <w:sz w:val="18"/>
          <w:szCs w:val="18"/>
        </w:rPr>
        <w:t>. Ce comportement doit être au moins équivalent au niveau moyen des véhicules particuliers et utilitaires du marché européen.</w:t>
      </w:r>
    </w:p>
    <w:p w14:paraId="74B4ABE8" w14:textId="4C10A5DF" w:rsidR="00027EDB" w:rsidRPr="005E61ED" w:rsidRDefault="00027EDB" w:rsidP="000268A0">
      <w:pPr>
        <w:framePr w:wrap="around" w:vAnchor="text" w:hAnchor="text" w:y="1"/>
        <w:pBdr>
          <w:top w:val="single" w:sz="12" w:space="1" w:color="5D2884" w:shadow="1"/>
          <w:left w:val="single" w:sz="12" w:space="4" w:color="5D2884" w:shadow="1"/>
          <w:bottom w:val="single" w:sz="12" w:space="1" w:color="5D2884" w:shadow="1"/>
          <w:right w:val="single" w:sz="12" w:space="4" w:color="5D2884" w:shadow="1"/>
        </w:pBdr>
        <w:autoSpaceDE w:val="0"/>
        <w:autoSpaceDN w:val="0"/>
        <w:adjustRightInd w:val="0"/>
        <w:spacing w:before="0" w:after="120" w:line="252" w:lineRule="auto"/>
        <w:jc w:val="both"/>
        <w:rPr>
          <w:rFonts w:eastAsia="Times New Roman"/>
          <w:sz w:val="18"/>
          <w:szCs w:val="18"/>
        </w:rPr>
      </w:pPr>
      <w:r w:rsidRPr="005E61ED">
        <w:rPr>
          <w:rFonts w:eastAsia="Times New Roman"/>
          <w:sz w:val="18"/>
          <w:szCs w:val="18"/>
        </w:rPr>
        <w:t xml:space="preserve">La sécurité des occupants, des marchandises et des autres usagers étant primordiale, le véhicule doit présenter une </w:t>
      </w:r>
      <w:r w:rsidRPr="005E61ED">
        <w:rPr>
          <w:rFonts w:eastAsia="Times New Roman"/>
          <w:b/>
          <w:sz w:val="18"/>
          <w:szCs w:val="18"/>
        </w:rPr>
        <w:t>protection efficace des passagers en cas de choc frontal ou latéral</w:t>
      </w:r>
      <w:r w:rsidRPr="005E61ED">
        <w:rPr>
          <w:rFonts w:eastAsia="Times New Roman"/>
          <w:sz w:val="18"/>
          <w:szCs w:val="18"/>
        </w:rPr>
        <w:t xml:space="preserve"> et minimiser les conséquences d'un choc avec un piéton.</w:t>
      </w:r>
    </w:p>
    <w:p w14:paraId="741AE7F7" w14:textId="49112622" w:rsidR="00D00393" w:rsidRPr="00613DC9" w:rsidRDefault="00D00393" w:rsidP="0095618F">
      <w:pPr>
        <w:spacing w:before="0" w:after="0"/>
        <w:jc w:val="both"/>
        <w:rPr>
          <w:b/>
          <w:sz w:val="16"/>
        </w:rPr>
      </w:pPr>
    </w:p>
    <w:p w14:paraId="77094F63" w14:textId="1C22E0B5" w:rsidR="00027EDB" w:rsidRPr="005E61ED" w:rsidRDefault="00D7243E" w:rsidP="005E61ED">
      <w:pPr>
        <w:spacing w:before="120" w:after="0"/>
      </w:pPr>
      <w:r w:rsidRPr="00613DC9">
        <w:rPr>
          <w:rFonts w:eastAsia="Times New Roman"/>
        </w:rPr>
        <w:t>.</w:t>
      </w:r>
      <w:r w:rsidR="00027EDB">
        <w:rPr>
          <w:rFonts w:eastAsia="Times New Roman"/>
        </w:rPr>
        <w:br w:type="page"/>
      </w:r>
    </w:p>
    <w:p w14:paraId="58507CF4" w14:textId="09F4C3E2" w:rsidR="00E60AFD" w:rsidRDefault="00F9613F" w:rsidP="009A2527">
      <w:pPr>
        <w:pStyle w:val="Titre1"/>
        <w:rPr>
          <w:rFonts w:eastAsia="Times New Roman"/>
        </w:rPr>
      </w:pPr>
      <w:bookmarkStart w:id="12" w:name="_Toc7425925"/>
      <w:r>
        <w:rPr>
          <w:rFonts w:eastAsia="Times New Roman"/>
        </w:rPr>
        <w:lastRenderedPageBreak/>
        <w:t>Fiche 2 : A</w:t>
      </w:r>
      <w:r w:rsidR="009A2527">
        <w:rPr>
          <w:rFonts w:eastAsia="Times New Roman"/>
        </w:rPr>
        <w:t>lloti</w:t>
      </w:r>
      <w:r w:rsidR="005D56FE">
        <w:rPr>
          <w:rFonts w:eastAsia="Times New Roman"/>
        </w:rPr>
        <w:t>r les prestations</w:t>
      </w:r>
      <w:bookmarkEnd w:id="12"/>
      <w:r w:rsidR="005D56FE">
        <w:rPr>
          <w:rFonts w:eastAsia="Times New Roman"/>
        </w:rPr>
        <w:t xml:space="preserve"> </w:t>
      </w:r>
      <w:r w:rsidR="009A2527">
        <w:rPr>
          <w:rFonts w:eastAsia="Times New Roman"/>
        </w:rPr>
        <w:t xml:space="preserve"> </w:t>
      </w:r>
    </w:p>
    <w:p w14:paraId="1C0B8CCC" w14:textId="56493168" w:rsidR="00027EDB" w:rsidRDefault="00D91D26" w:rsidP="009A2527">
      <w:pPr>
        <w:spacing w:before="240" w:after="120"/>
        <w:jc w:val="both"/>
        <w:rPr>
          <w:szCs w:val="24"/>
        </w:rPr>
      </w:pPr>
      <w:r>
        <w:rPr>
          <w:szCs w:val="24"/>
        </w:rPr>
        <w:t>L</w:t>
      </w:r>
      <w:r w:rsidRPr="00EF6A27">
        <w:rPr>
          <w:szCs w:val="24"/>
        </w:rPr>
        <w:t>’allotissement est destiné</w:t>
      </w:r>
      <w:r>
        <w:rPr>
          <w:szCs w:val="24"/>
        </w:rPr>
        <w:t>, par une structuration pertinente du projet de marché,</w:t>
      </w:r>
      <w:r w:rsidRPr="00EF6A27">
        <w:rPr>
          <w:szCs w:val="24"/>
        </w:rPr>
        <w:t xml:space="preserve"> à susciter la plus large concurrence entre les entr</w:t>
      </w:r>
      <w:r w:rsidR="000710F3">
        <w:rPr>
          <w:szCs w:val="24"/>
        </w:rPr>
        <w:t>eprises et leur permettre, quels</w:t>
      </w:r>
      <w:r w:rsidRPr="00EF6A27">
        <w:rPr>
          <w:szCs w:val="24"/>
        </w:rPr>
        <w:t xml:space="preserve"> que soi</w:t>
      </w:r>
      <w:r w:rsidR="000710F3">
        <w:rPr>
          <w:szCs w:val="24"/>
        </w:rPr>
        <w:t>ent</w:t>
      </w:r>
      <w:r w:rsidRPr="00EF6A27">
        <w:rPr>
          <w:szCs w:val="24"/>
        </w:rPr>
        <w:t xml:space="preserve"> leur taille</w:t>
      </w:r>
      <w:r w:rsidR="000040DE">
        <w:rPr>
          <w:szCs w:val="24"/>
        </w:rPr>
        <w:t xml:space="preserve"> </w:t>
      </w:r>
      <w:r w:rsidR="000710F3">
        <w:rPr>
          <w:szCs w:val="24"/>
        </w:rPr>
        <w:t>et</w:t>
      </w:r>
      <w:r w:rsidR="000D6C6C">
        <w:rPr>
          <w:szCs w:val="24"/>
        </w:rPr>
        <w:t>/ou</w:t>
      </w:r>
      <w:r w:rsidR="000040DE">
        <w:rPr>
          <w:szCs w:val="24"/>
        </w:rPr>
        <w:t xml:space="preserve"> leur degré de spécialisation</w:t>
      </w:r>
      <w:r w:rsidRPr="00EF6A27">
        <w:rPr>
          <w:szCs w:val="24"/>
        </w:rPr>
        <w:t>, d’accéder</w:t>
      </w:r>
      <w:r w:rsidR="00573C16">
        <w:rPr>
          <w:szCs w:val="24"/>
        </w:rPr>
        <w:t xml:space="preserve"> directement</w:t>
      </w:r>
      <w:r w:rsidRPr="00EF6A27">
        <w:rPr>
          <w:szCs w:val="24"/>
        </w:rPr>
        <w:t xml:space="preserve"> à la commande publique.</w:t>
      </w:r>
      <w:r>
        <w:rPr>
          <w:szCs w:val="24"/>
        </w:rPr>
        <w:t xml:space="preserve"> </w:t>
      </w:r>
    </w:p>
    <w:p w14:paraId="3113BDDB" w14:textId="29A44DFF" w:rsidR="00890A90" w:rsidRDefault="00890A90" w:rsidP="00C760C0">
      <w:pPr>
        <w:spacing w:before="120" w:after="120"/>
        <w:ind w:left="227" w:right="227"/>
        <w:jc w:val="both"/>
        <w:rPr>
          <w:szCs w:val="24"/>
        </w:rPr>
      </w:pPr>
      <w:r w:rsidRPr="00922262">
        <w:rPr>
          <w:rStyle w:val="Lienhypertexte"/>
          <w:noProof/>
          <w:szCs w:val="23"/>
          <w:lang w:eastAsia="fr-FR"/>
        </w:rPr>
        <w:drawing>
          <wp:anchor distT="0" distB="0" distL="114300" distR="114300" simplePos="0" relativeHeight="251750400" behindDoc="0" locked="0" layoutInCell="1" allowOverlap="1" wp14:anchorId="1B82ACD6" wp14:editId="202A50BA">
            <wp:simplePos x="0" y="0"/>
            <wp:positionH relativeFrom="margin">
              <wp:align>left</wp:align>
            </wp:positionH>
            <wp:positionV relativeFrom="paragraph">
              <wp:posOffset>5298</wp:posOffset>
            </wp:positionV>
            <wp:extent cx="388620" cy="388620"/>
            <wp:effectExtent l="0" t="0" r="0" b="0"/>
            <wp:wrapSquare wrapText="bothSides"/>
            <wp:docPr id="20" name="Image 20" descr="K:\1ESD\1C\COMMUN1C\06. OECP\3 - GT OECP\GT_acces-TPE-PME\Projet de guide\Icônes\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1ESD\1C\COMMUN1C\06. OECP\3 - GT OECP\GT_acces-TPE-PME\Projet de guide\Icônes\book.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flipH="1">
                      <a:off x="0" y="0"/>
                      <a:ext cx="390595" cy="390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1D26">
        <w:t>Art</w:t>
      </w:r>
      <w:r>
        <w:t xml:space="preserve">icle L. </w:t>
      </w:r>
      <w:r w:rsidRPr="00D91D26">
        <w:t>2113-10 du CCP : « </w:t>
      </w:r>
      <w:r w:rsidRPr="00D91D26">
        <w:rPr>
          <w:i/>
        </w:rPr>
        <w:t>Les marchés sont passés en lots séparés, sauf si leur objet ne permet pas l'identification de prestations distinctes. L'acheteur détermine le nombre, la taille et l'objet des lots</w:t>
      </w:r>
      <w:r w:rsidRPr="00D91D26">
        <w:t> ».</w:t>
      </w:r>
    </w:p>
    <w:p w14:paraId="05E01079" w14:textId="1C6DB59B" w:rsidR="009A2527" w:rsidRDefault="00027EDB" w:rsidP="00C760C0">
      <w:pPr>
        <w:spacing w:before="60" w:after="120"/>
        <w:jc w:val="both"/>
        <w:rPr>
          <w:rFonts w:eastAsia="Times New Roman"/>
        </w:rPr>
      </w:pPr>
      <w:r>
        <w:rPr>
          <w:szCs w:val="24"/>
        </w:rPr>
        <w:t>L</w:t>
      </w:r>
      <w:r w:rsidRPr="00027EDB">
        <w:rPr>
          <w:szCs w:val="24"/>
        </w:rPr>
        <w:t xml:space="preserve">e principe de l’allotissement </w:t>
      </w:r>
      <w:r>
        <w:rPr>
          <w:szCs w:val="24"/>
        </w:rPr>
        <w:t xml:space="preserve">s’applique désormais </w:t>
      </w:r>
      <w:r w:rsidRPr="00027EDB">
        <w:rPr>
          <w:szCs w:val="24"/>
        </w:rPr>
        <w:t>à l’ensemble des acheteurs, indépendamment de leur qualité de pouvoir adjudicateur ou d’entité adjudicatrice. En outre, ce principe s’applique tant aux marchés passés selon une procédure adaptée qu’à ceux passés selon une procédure formalisée.</w:t>
      </w:r>
    </w:p>
    <w:p w14:paraId="05ECF2AF" w14:textId="57E480FC" w:rsidR="00E55A0D" w:rsidRPr="00E55A0D" w:rsidRDefault="00BA255C" w:rsidP="00890A90">
      <w:pPr>
        <w:spacing w:before="120" w:after="120"/>
        <w:jc w:val="both"/>
        <w:rPr>
          <w:rFonts w:eastAsia="Times New Roman"/>
          <w:sz w:val="22"/>
        </w:rPr>
      </w:pPr>
      <w:r w:rsidRPr="000D6C6C">
        <w:rPr>
          <w:bCs/>
        </w:rPr>
        <w:t>De fait,</w:t>
      </w:r>
      <w:r w:rsidR="00D91D26" w:rsidRPr="000D6C6C">
        <w:rPr>
          <w:rFonts w:eastAsia="Times New Roman"/>
          <w:bCs/>
        </w:rPr>
        <w:t xml:space="preserve"> </w:t>
      </w:r>
      <w:r w:rsidR="009A2527" w:rsidRPr="000D6C6C">
        <w:rPr>
          <w:rFonts w:eastAsia="Times New Roman"/>
          <w:bCs/>
        </w:rPr>
        <w:t xml:space="preserve">l’acheteur dispose d’une grande </w:t>
      </w:r>
      <w:r w:rsidR="009A2527" w:rsidRPr="000D6C6C">
        <w:rPr>
          <w:rFonts w:eastAsia="Times New Roman"/>
          <w:b/>
          <w:bCs/>
        </w:rPr>
        <w:t>liberté</w:t>
      </w:r>
      <w:r w:rsidR="009A2527" w:rsidRPr="000D6C6C">
        <w:t xml:space="preserve"> </w:t>
      </w:r>
      <w:r w:rsidR="009A2527" w:rsidRPr="000D6C6C">
        <w:rPr>
          <w:b/>
        </w:rPr>
        <w:t>dans la détermination du nombre et de la consistance des lots</w:t>
      </w:r>
      <w:r w:rsidR="00E6003C">
        <w:rPr>
          <w:b/>
        </w:rPr>
        <w:t xml:space="preserve">, </w:t>
      </w:r>
      <w:r w:rsidR="00E55A0D" w:rsidRPr="00E55A0D">
        <w:t>mais il doit tenir</w:t>
      </w:r>
      <w:r w:rsidR="00E55A0D">
        <w:rPr>
          <w:b/>
        </w:rPr>
        <w:t xml:space="preserve"> </w:t>
      </w:r>
      <w:r w:rsidR="00E6003C" w:rsidRPr="0076663C">
        <w:t>compte d</w:t>
      </w:r>
      <w:r w:rsidR="0076663C" w:rsidRPr="0076663C">
        <w:t xml:space="preserve">es caractéristiques techniques </w:t>
      </w:r>
      <w:r w:rsidR="000917AB" w:rsidRPr="0076663C">
        <w:t>de la prestation concernée, du territoire où elle est exécuté</w:t>
      </w:r>
      <w:r w:rsidR="00E55A0D">
        <w:t>e, de l’état de la concurrence</w:t>
      </w:r>
      <w:r w:rsidR="0076663C" w:rsidRPr="0076663C">
        <w:t xml:space="preserve">, </w:t>
      </w:r>
      <w:r w:rsidR="00E810E8">
        <w:t xml:space="preserve">de sa </w:t>
      </w:r>
      <w:r w:rsidR="00890A90">
        <w:t xml:space="preserve">propre </w:t>
      </w:r>
      <w:r w:rsidR="00E810E8">
        <w:t>capacité à coordonner l’</w:t>
      </w:r>
      <w:r w:rsidR="005B7DBE">
        <w:t>ensemble</w:t>
      </w:r>
      <w:r w:rsidR="00890A90">
        <w:t xml:space="preserve"> des prestations</w:t>
      </w:r>
      <w:r w:rsidR="00E810E8">
        <w:t xml:space="preserve">, </w:t>
      </w:r>
      <w:r w:rsidR="000917AB" w:rsidRPr="0076663C">
        <w:t>etc.</w:t>
      </w:r>
      <w:r w:rsidR="00890A90">
        <w:t xml:space="preserve"> afin d’aboutir à la meilleure structuration </w:t>
      </w:r>
      <w:r w:rsidR="00EE3E2C">
        <w:t>fonctionnelle</w:t>
      </w:r>
      <w:r w:rsidR="00890A90">
        <w:t xml:space="preserve"> et géographique, le cas échéant.</w:t>
      </w:r>
    </w:p>
    <w:p w14:paraId="22D36B34" w14:textId="5E1F7C59" w:rsidR="000917AB" w:rsidRDefault="00A7362E" w:rsidP="00922CB9">
      <w:pPr>
        <w:tabs>
          <w:tab w:val="left" w:pos="1786"/>
        </w:tabs>
        <w:spacing w:after="120"/>
        <w:jc w:val="both"/>
      </w:pPr>
      <w:r>
        <w:t>La pratique du sourcing (</w:t>
      </w:r>
      <w:hyperlink w:anchor="_Sourcing" w:history="1">
        <w:r w:rsidRPr="00A7362E">
          <w:rPr>
            <w:rStyle w:val="Lienhypertexte"/>
          </w:rPr>
          <w:t>cf. fiche dédiée</w:t>
        </w:r>
      </w:hyperlink>
      <w:r>
        <w:t xml:space="preserve">) contribue à consolider l’analyse du secteur économique considéré afin </w:t>
      </w:r>
      <w:r w:rsidR="00E55A0D">
        <w:t xml:space="preserve">notamment </w:t>
      </w:r>
      <w:r>
        <w:t>d’éviter le groupement de prestations qui peuvent être réalisées par des corps de métier distincts</w:t>
      </w:r>
      <w:r w:rsidR="00BC4612">
        <w:t xml:space="preserve"> (ex : </w:t>
      </w:r>
      <w:r w:rsidR="00F37EDC">
        <w:t>peinture et plomberie</w:t>
      </w:r>
      <w:r w:rsidR="006C2848">
        <w:t>, nettoyage et gestion des déchets, fournitures de bureau et informatique…)</w:t>
      </w:r>
      <w:r w:rsidR="00F37EDC">
        <w:t xml:space="preserve">. </w:t>
      </w:r>
    </w:p>
    <w:p w14:paraId="58B9AB31" w14:textId="54A08A69" w:rsidR="00922E13" w:rsidRDefault="00A97848" w:rsidP="00922CB9">
      <w:pPr>
        <w:tabs>
          <w:tab w:val="left" w:pos="1786"/>
        </w:tabs>
        <w:spacing w:after="120"/>
        <w:jc w:val="both"/>
      </w:pPr>
      <w:r w:rsidRPr="00A97848">
        <w:t>Lorsque les prestations sont exécutées sur des sites géographiquement distincts, un allotissement géographique est susceptible d’ouvrir l</w:t>
      </w:r>
      <w:r w:rsidR="009806A0">
        <w:t>e marché</w:t>
      </w:r>
      <w:r w:rsidRPr="00A97848">
        <w:t xml:space="preserve"> à des entreprises qui n’auraient pas la capacité d’assurer l’exécution de la pres</w:t>
      </w:r>
      <w:r w:rsidR="00DC4B95">
        <w:t>tation sur l’ensemble des sites</w:t>
      </w:r>
      <w:r w:rsidR="006C2848">
        <w:t>.</w:t>
      </w:r>
    </w:p>
    <w:p w14:paraId="6C140BDF" w14:textId="1D95E40C" w:rsidR="00922CB9" w:rsidRDefault="002921E2" w:rsidP="00890A90">
      <w:pPr>
        <w:pStyle w:val="Exemple"/>
        <w:framePr w:wrap="around"/>
        <w:spacing w:before="60" w:after="60"/>
      </w:pPr>
      <w:r w:rsidRPr="002921E2">
        <w:t xml:space="preserve">Le chantier du parc des expositions de Toulouse </w:t>
      </w:r>
      <w:r>
        <w:t xml:space="preserve">métropole </w:t>
      </w:r>
      <w:r w:rsidRPr="002921E2">
        <w:t>constitue un exemple d’allotissement à l’échelle d’un projet d’envergure. En effet,</w:t>
      </w:r>
      <w:r>
        <w:t xml:space="preserve"> après une concertation avec les fédérations professionnelles, l’opération </w:t>
      </w:r>
      <w:r w:rsidR="004C4D91">
        <w:t xml:space="preserve">de plus de 300 M€ (bâtiments, voiries, parkings, prolongement du tramway…) </w:t>
      </w:r>
      <w:r>
        <w:t xml:space="preserve">a été allotie en 40 lots, dont la moitié à moins d’1 M€. Ce projet </w:t>
      </w:r>
      <w:r w:rsidR="002A6372">
        <w:t>a nécessité une maitrise d’ouvrage déléguée</w:t>
      </w:r>
      <w:r w:rsidR="004C4D91">
        <w:t xml:space="preserve"> pour assurer le pilotage</w:t>
      </w:r>
      <w:r w:rsidR="00616FBE">
        <w:t>.</w:t>
      </w:r>
    </w:p>
    <w:p w14:paraId="035F4F85" w14:textId="7F72BEC2" w:rsidR="00922CB9" w:rsidRDefault="00922CB9" w:rsidP="00922CB9">
      <w:pPr>
        <w:spacing w:before="240" w:after="120"/>
        <w:jc w:val="both"/>
      </w:pPr>
      <w:r w:rsidRPr="00EF6A27">
        <w:rPr>
          <w:szCs w:val="24"/>
        </w:rPr>
        <w:t>Le Conseil d’État</w:t>
      </w:r>
      <w:r>
        <w:rPr>
          <w:szCs w:val="24"/>
        </w:rPr>
        <w:t xml:space="preserve"> considère q</w:t>
      </w:r>
      <w:r w:rsidRPr="00EF6A27">
        <w:rPr>
          <w:szCs w:val="24"/>
        </w:rPr>
        <w:t xml:space="preserve">ue le choix opéré par l’acheteur ne peut être remis en cause que si l’acheteur commet des erreurs grossières dans le découpage au regard « </w:t>
      </w:r>
      <w:r w:rsidRPr="00EF6A27">
        <w:rPr>
          <w:i/>
          <w:szCs w:val="24"/>
        </w:rPr>
        <w:t xml:space="preserve">des caractéristiques techniques des prestations demandées, de la structure du secteur économique en cause et, le cas échéant, des règles applicables à certaines professions </w:t>
      </w:r>
      <w:r w:rsidRPr="00EF6A27">
        <w:rPr>
          <w:szCs w:val="24"/>
        </w:rPr>
        <w:t>»</w:t>
      </w:r>
      <w:r w:rsidRPr="00EF6A27">
        <w:rPr>
          <w:szCs w:val="24"/>
          <w:vertAlign w:val="superscript"/>
        </w:rPr>
        <w:footnoteReference w:id="6"/>
      </w:r>
      <w:r>
        <w:rPr>
          <w:szCs w:val="24"/>
        </w:rPr>
        <w:t xml:space="preserve">. </w:t>
      </w:r>
      <w:r>
        <w:t>S</w:t>
      </w:r>
      <w:r w:rsidRPr="00B01BA9">
        <w:t xml:space="preserve">eule une erreur manifeste d’appréciation est </w:t>
      </w:r>
      <w:r>
        <w:t xml:space="preserve">ainsi </w:t>
      </w:r>
      <w:r w:rsidRPr="00B01BA9">
        <w:t xml:space="preserve">susceptible de caractériser un manquement </w:t>
      </w:r>
      <w:r>
        <w:t xml:space="preserve">aux </w:t>
      </w:r>
      <w:r w:rsidRPr="00B01BA9">
        <w:t>obligations de mise en concurrence.</w:t>
      </w:r>
    </w:p>
    <w:p w14:paraId="26CFDFD4" w14:textId="700D2770" w:rsidR="00602C62" w:rsidRDefault="00890A90" w:rsidP="000040DE">
      <w:pPr>
        <w:tabs>
          <w:tab w:val="left" w:pos="1786"/>
        </w:tabs>
        <w:spacing w:after="60"/>
        <w:jc w:val="both"/>
        <w:rPr>
          <w:rFonts w:eastAsia="Times New Roman"/>
          <w:bCs/>
        </w:rPr>
      </w:pPr>
      <w:r w:rsidRPr="00AA393C">
        <w:rPr>
          <w:rFonts w:eastAsia="Times New Roman"/>
          <w:bCs/>
          <w:noProof/>
          <w:lang w:eastAsia="fr-FR"/>
        </w:rPr>
        <w:drawing>
          <wp:anchor distT="0" distB="0" distL="114300" distR="114300" simplePos="0" relativeHeight="251782144" behindDoc="1" locked="0" layoutInCell="1" allowOverlap="1" wp14:anchorId="1E58E651" wp14:editId="03A530FC">
            <wp:simplePos x="0" y="0"/>
            <wp:positionH relativeFrom="margin">
              <wp:align>right</wp:align>
            </wp:positionH>
            <wp:positionV relativeFrom="paragraph">
              <wp:posOffset>8890</wp:posOffset>
            </wp:positionV>
            <wp:extent cx="836295" cy="749300"/>
            <wp:effectExtent l="0" t="0" r="1905" b="0"/>
            <wp:wrapTight wrapText="bothSides">
              <wp:wrapPolygon edited="0">
                <wp:start x="0" y="0"/>
                <wp:lineTo x="0" y="20868"/>
                <wp:lineTo x="21157" y="20868"/>
                <wp:lineTo x="21157" y="0"/>
                <wp:lineTo x="0" y="0"/>
              </wp:wrapPolygon>
            </wp:wrapTight>
            <wp:docPr id="41" name="Image 41" descr="K:\1ESD\1C\COMMUN1C\06. OECP\3 - GT OECP\GT_acces-TPE-PME\Projet de guide\Icônes\Lo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1ESD\1C\COMMUN1C\06. OECP\3 - GT OECP\GT_acces-TPE-PME\Projet de guide\Icônes\Lots.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36295" cy="749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17AB">
        <w:t>L’acheteur dispose aussi de latitude</w:t>
      </w:r>
      <w:r w:rsidR="000040DE">
        <w:t xml:space="preserve"> </w:t>
      </w:r>
      <w:r w:rsidR="000040DE" w:rsidRPr="000040DE">
        <w:rPr>
          <w:rFonts w:eastAsia="Times New Roman"/>
          <w:bCs/>
        </w:rPr>
        <w:t xml:space="preserve">dans la détermination des </w:t>
      </w:r>
      <w:r w:rsidR="000040DE" w:rsidRPr="000917AB">
        <w:rPr>
          <w:rFonts w:eastAsia="Times New Roman"/>
          <w:b/>
          <w:bCs/>
        </w:rPr>
        <w:t>modalités de soumission et d’attribution des lots</w:t>
      </w:r>
      <w:r w:rsidR="000040DE" w:rsidRPr="000917AB">
        <w:rPr>
          <w:rFonts w:eastAsia="Times New Roman"/>
          <w:bCs/>
        </w:rPr>
        <w:t>.</w:t>
      </w:r>
      <w:r w:rsidR="000040DE" w:rsidRPr="000040DE">
        <w:rPr>
          <w:rFonts w:eastAsia="Times New Roman"/>
          <w:bCs/>
        </w:rPr>
        <w:t xml:space="preserve"> Par exemple, il peut décider de limiter le nombre</w:t>
      </w:r>
      <w:r w:rsidR="000040DE" w:rsidRPr="00DB2110">
        <w:rPr>
          <w:rFonts w:eastAsia="Times New Roman"/>
          <w:b/>
          <w:bCs/>
        </w:rPr>
        <w:t xml:space="preserve"> de lots</w:t>
      </w:r>
      <w:r w:rsidR="000040DE" w:rsidRPr="009F6224">
        <w:rPr>
          <w:rFonts w:eastAsia="Times New Roman"/>
          <w:bCs/>
        </w:rPr>
        <w:t xml:space="preserve"> pour lesquels un opérateur économique peut présenter une offre ou le nombre maximal de lots pouvant être attribués à un même opérateur économique</w:t>
      </w:r>
      <w:r w:rsidR="00AD2200">
        <w:rPr>
          <w:rStyle w:val="Appelnotedebasdep"/>
          <w:rFonts w:eastAsia="Times New Roman"/>
          <w:bCs/>
        </w:rPr>
        <w:footnoteReference w:id="7"/>
      </w:r>
      <w:r w:rsidR="000917AB">
        <w:rPr>
          <w:rFonts w:eastAsia="Times New Roman"/>
          <w:bCs/>
        </w:rPr>
        <w:t xml:space="preserve">. </w:t>
      </w:r>
    </w:p>
    <w:p w14:paraId="39F87EEC" w14:textId="281CCCA3" w:rsidR="000040DE" w:rsidRDefault="000917AB" w:rsidP="000040DE">
      <w:pPr>
        <w:tabs>
          <w:tab w:val="left" w:pos="1786"/>
        </w:tabs>
        <w:spacing w:after="60"/>
        <w:jc w:val="both"/>
        <w:rPr>
          <w:rFonts w:eastAsia="Times New Roman"/>
          <w:bCs/>
        </w:rPr>
      </w:pPr>
      <w:r>
        <w:rPr>
          <w:rFonts w:eastAsia="Times New Roman"/>
          <w:bCs/>
        </w:rPr>
        <w:t xml:space="preserve">Il s’agit d’une </w:t>
      </w:r>
      <w:r w:rsidR="00A06F2B">
        <w:rPr>
          <w:rFonts w:eastAsia="Times New Roman"/>
          <w:bCs/>
        </w:rPr>
        <w:t>bonne pratique potentielle</w:t>
      </w:r>
      <w:r w:rsidR="000040DE" w:rsidRPr="009F6224">
        <w:rPr>
          <w:rFonts w:eastAsia="Times New Roman"/>
          <w:bCs/>
        </w:rPr>
        <w:t xml:space="preserve">, </w:t>
      </w:r>
      <w:r>
        <w:rPr>
          <w:rFonts w:eastAsia="Times New Roman"/>
          <w:bCs/>
        </w:rPr>
        <w:t>en ce qu’elle</w:t>
      </w:r>
      <w:r w:rsidR="000040DE" w:rsidRPr="009F6224">
        <w:rPr>
          <w:rFonts w:eastAsia="Times New Roman"/>
          <w:bCs/>
        </w:rPr>
        <w:t xml:space="preserve"> permet de varie</w:t>
      </w:r>
      <w:r>
        <w:rPr>
          <w:rFonts w:eastAsia="Times New Roman"/>
          <w:bCs/>
        </w:rPr>
        <w:t>r les entreprises attributaires</w:t>
      </w:r>
      <w:r w:rsidR="00DE2C60">
        <w:rPr>
          <w:rFonts w:eastAsia="Times New Roman"/>
          <w:bCs/>
        </w:rPr>
        <w:t xml:space="preserve"> et de sécuriser les approvisionnements</w:t>
      </w:r>
      <w:r>
        <w:rPr>
          <w:rFonts w:eastAsia="Times New Roman"/>
          <w:bCs/>
        </w:rPr>
        <w:t xml:space="preserve">. </w:t>
      </w:r>
      <w:r w:rsidR="00602C62">
        <w:rPr>
          <w:rFonts w:eastAsia="Times New Roman"/>
          <w:bCs/>
        </w:rPr>
        <w:t xml:space="preserve">On peut en effet considérer que les vertus de l’allotissement sont neutralisées dès lors qu’une </w:t>
      </w:r>
      <w:r w:rsidR="00046E34">
        <w:rPr>
          <w:rFonts w:eastAsia="Times New Roman"/>
          <w:bCs/>
        </w:rPr>
        <w:t xml:space="preserve">seule </w:t>
      </w:r>
      <w:r w:rsidR="00602C62">
        <w:rPr>
          <w:rFonts w:eastAsia="Times New Roman"/>
          <w:bCs/>
        </w:rPr>
        <w:t>entreprise obtient une majorité de lots au titre d’une même consultation.</w:t>
      </w:r>
    </w:p>
    <w:p w14:paraId="71507D1B" w14:textId="6029D9FA" w:rsidR="00DC4B95" w:rsidRPr="0008323D" w:rsidRDefault="00DC4B95" w:rsidP="00DC4B95">
      <w:pPr>
        <w:tabs>
          <w:tab w:val="left" w:pos="1786"/>
        </w:tabs>
        <w:spacing w:after="120"/>
        <w:jc w:val="both"/>
      </w:pPr>
      <w:r>
        <w:rPr>
          <w:rFonts w:eastAsia="Times New Roman"/>
          <w:bCs/>
        </w:rPr>
        <w:t xml:space="preserve">Par ailleurs, </w:t>
      </w:r>
      <w:r>
        <w:t>d</w:t>
      </w:r>
      <w:r w:rsidRPr="0008323D">
        <w:t xml:space="preserve">ans le cadre d’une procédure formalisée, il est possible de recourir à la procédure adaptée pour les « petits lots », c’est-à-dire ceux dont le montant est inférieur à 80 000€ HT </w:t>
      </w:r>
      <w:r>
        <w:t>pour l</w:t>
      </w:r>
      <w:r w:rsidRPr="0008323D">
        <w:t xml:space="preserve">es marchés de fournitures et </w:t>
      </w:r>
      <w:r w:rsidRPr="0008323D">
        <w:lastRenderedPageBreak/>
        <w:t xml:space="preserve">services et à 1 M€ HT </w:t>
      </w:r>
      <w:r>
        <w:t>pour les marchés de travaux</w:t>
      </w:r>
      <w:r w:rsidRPr="0008323D">
        <w:t xml:space="preserve"> </w:t>
      </w:r>
      <w:r>
        <w:t>(</w:t>
      </w:r>
      <w:r w:rsidRPr="0008323D">
        <w:t>à la condition que le montant cumulé de ces lots n’excède pas 20 % de la valeur totale</w:t>
      </w:r>
      <w:r>
        <w:t>)</w:t>
      </w:r>
      <w:r>
        <w:rPr>
          <w:rStyle w:val="Appelnotedebasdep"/>
        </w:rPr>
        <w:footnoteReference w:id="8"/>
      </w:r>
      <w:r w:rsidRPr="0008323D">
        <w:t>.</w:t>
      </w:r>
      <w:r>
        <w:t xml:space="preserve"> Il semble cependant cette possibilité soit peu employée par les acheteurs. </w:t>
      </w:r>
    </w:p>
    <w:p w14:paraId="71C8F000" w14:textId="57E98334" w:rsidR="0072512D" w:rsidRDefault="00E810E8" w:rsidP="00E810E8">
      <w:pPr>
        <w:spacing w:before="120" w:after="120"/>
        <w:jc w:val="both"/>
      </w:pPr>
      <w:r w:rsidRPr="000040DE">
        <w:rPr>
          <w:b/>
          <w:noProof/>
          <w:color w:val="FF0000"/>
          <w:lang w:eastAsia="fr-FR"/>
        </w:rPr>
        <w:drawing>
          <wp:anchor distT="0" distB="0" distL="114300" distR="114300" simplePos="0" relativeHeight="251751424" behindDoc="0" locked="0" layoutInCell="1" allowOverlap="1" wp14:anchorId="1DE79971" wp14:editId="54281828">
            <wp:simplePos x="0" y="0"/>
            <wp:positionH relativeFrom="margin">
              <wp:align>left</wp:align>
            </wp:positionH>
            <wp:positionV relativeFrom="paragraph">
              <wp:posOffset>884</wp:posOffset>
            </wp:positionV>
            <wp:extent cx="461010" cy="461010"/>
            <wp:effectExtent l="0" t="0" r="0" b="0"/>
            <wp:wrapSquare wrapText="bothSides"/>
            <wp:docPr id="21" name="Image 21" descr="K:\1ESD\1C\COMMUN1C\11. Innovation\GT guide achats innovants\Projet de guide\Icônes\big-euro-coin-on-h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1ESD\1C\COMMUN1C\11. Innovation\GT guide achats innovants\Projet de guide\Icônes\big-euro-coin-on-hand.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61485" cy="461485"/>
                    </a:xfrm>
                    <a:prstGeom prst="rect">
                      <a:avLst/>
                    </a:prstGeom>
                    <a:noFill/>
                    <a:ln>
                      <a:noFill/>
                    </a:ln>
                  </pic:spPr>
                </pic:pic>
              </a:graphicData>
            </a:graphic>
            <wp14:sizeRelH relativeFrom="page">
              <wp14:pctWidth>0</wp14:pctWidth>
            </wp14:sizeRelH>
            <wp14:sizeRelV relativeFrom="page">
              <wp14:pctHeight>0</wp14:pctHeight>
            </wp14:sizeRelV>
          </wp:anchor>
        </w:drawing>
      </w:r>
      <w:r w:rsidR="000040DE">
        <w:t>L</w:t>
      </w:r>
      <w:r>
        <w:t xml:space="preserve">e dimensionnement des lots </w:t>
      </w:r>
      <w:r w:rsidR="00646EA0">
        <w:t>conditionne notamment</w:t>
      </w:r>
      <w:r w:rsidR="00646EA0" w:rsidRPr="00C54B2A">
        <w:t xml:space="preserve"> le</w:t>
      </w:r>
      <w:r w:rsidR="00BA255C">
        <w:t xml:space="preserve"> montant de</w:t>
      </w:r>
      <w:r w:rsidR="00646EA0" w:rsidRPr="00C54B2A">
        <w:t xml:space="preserve">s </w:t>
      </w:r>
      <w:r w:rsidR="00646EA0" w:rsidRPr="00922CB9">
        <w:rPr>
          <w:b/>
        </w:rPr>
        <w:t>garanties bancaires</w:t>
      </w:r>
      <w:r w:rsidR="00646EA0" w:rsidRPr="00C54B2A">
        <w:t xml:space="preserve"> </w:t>
      </w:r>
      <w:r w:rsidR="00BA255C">
        <w:t>(ex : garantie à première demande)</w:t>
      </w:r>
      <w:r w:rsidR="00646EA0" w:rsidRPr="00C54B2A">
        <w:t xml:space="preserve"> et le </w:t>
      </w:r>
      <w:r w:rsidR="00BA255C">
        <w:t xml:space="preserve">chiffre d’affaires </w:t>
      </w:r>
      <w:r w:rsidR="00473AA9">
        <w:t xml:space="preserve">qui leur sont </w:t>
      </w:r>
      <w:r w:rsidR="00BA255C" w:rsidRPr="00C54B2A">
        <w:t>exigibles</w:t>
      </w:r>
      <w:r w:rsidR="00473AA9">
        <w:t>, d’une part par les banques, d’autres part par les acheteurs au stade des candidatures</w:t>
      </w:r>
      <w:r w:rsidR="00BA255C">
        <w:t xml:space="preserve">. </w:t>
      </w:r>
      <w:r w:rsidR="006743B1">
        <w:t xml:space="preserve">Plus les lots seront d’importance, moins une PME aura la capacité de candidater, non pas parce qu’elle ne dispose pas des moyens techniques et/ou humains pour réaliser les prestations, mais tout simplement parce qu’elle doit </w:t>
      </w:r>
      <w:r w:rsidR="0072512D" w:rsidRPr="000040DE">
        <w:t>disposer des financements</w:t>
      </w:r>
      <w:r w:rsidR="0072512D">
        <w:t xml:space="preserve"> </w:t>
      </w:r>
      <w:r w:rsidR="00DE7088">
        <w:t>adéquats</w:t>
      </w:r>
      <w:r w:rsidR="0072512D">
        <w:t xml:space="preserve">. Or, un opérateur bancaire </w:t>
      </w:r>
      <w:r w:rsidR="006743B1">
        <w:t xml:space="preserve">ne sera pas enclin à soutenir </w:t>
      </w:r>
      <w:r w:rsidR="0072512D">
        <w:t xml:space="preserve">une PME </w:t>
      </w:r>
      <w:r w:rsidR="006743B1">
        <w:t xml:space="preserve">dans de multiples candidatures. Un </w:t>
      </w:r>
      <w:r w:rsidR="00B32E4B">
        <w:t xml:space="preserve">arbitrage </w:t>
      </w:r>
      <w:r w:rsidR="006743B1">
        <w:t>est alors opéré par l</w:t>
      </w:r>
      <w:r w:rsidR="0072512D">
        <w:t>’entreprise</w:t>
      </w:r>
      <w:r w:rsidR="006743B1">
        <w:t xml:space="preserve">, qui doit </w:t>
      </w:r>
      <w:r w:rsidR="0072512D">
        <w:t xml:space="preserve">limiter sa participation à quelques procédures. </w:t>
      </w:r>
    </w:p>
    <w:p w14:paraId="246407ED" w14:textId="304C532B" w:rsidR="000040DE" w:rsidRDefault="00030C94" w:rsidP="000D6FC4">
      <w:pPr>
        <w:tabs>
          <w:tab w:val="left" w:pos="1786"/>
        </w:tabs>
        <w:spacing w:after="60"/>
        <w:jc w:val="both"/>
        <w:rPr>
          <w:szCs w:val="24"/>
        </w:rPr>
      </w:pPr>
      <w:r w:rsidRPr="00B96033">
        <w:rPr>
          <w:szCs w:val="24"/>
        </w:rPr>
        <w:t>L’a</w:t>
      </w:r>
      <w:r w:rsidR="000040DE" w:rsidRPr="00B96033">
        <w:rPr>
          <w:szCs w:val="24"/>
        </w:rPr>
        <w:t xml:space="preserve">llotissement n’est cependant pas systématique. </w:t>
      </w:r>
      <w:hyperlink r:id="rId33" w:history="1">
        <w:r w:rsidR="000040DE" w:rsidRPr="00E6003C">
          <w:rPr>
            <w:rStyle w:val="Lienhypertexte"/>
            <w:szCs w:val="24"/>
          </w:rPr>
          <w:t xml:space="preserve">L’article </w:t>
        </w:r>
        <w:r w:rsidR="008150C8" w:rsidRPr="00E6003C">
          <w:rPr>
            <w:rStyle w:val="Lienhypertexte"/>
            <w:szCs w:val="24"/>
          </w:rPr>
          <w:t>L</w:t>
        </w:r>
        <w:r w:rsidR="00E6003C" w:rsidRPr="00E6003C">
          <w:rPr>
            <w:rStyle w:val="Lienhypertexte"/>
            <w:szCs w:val="24"/>
          </w:rPr>
          <w:t>.</w:t>
        </w:r>
        <w:r w:rsidR="0059600A">
          <w:rPr>
            <w:rStyle w:val="Lienhypertexte"/>
            <w:szCs w:val="24"/>
          </w:rPr>
          <w:t xml:space="preserve"> </w:t>
        </w:r>
        <w:r w:rsidR="008150C8" w:rsidRPr="00E6003C">
          <w:rPr>
            <w:rStyle w:val="Lienhypertexte"/>
            <w:szCs w:val="24"/>
          </w:rPr>
          <w:t>2113-11</w:t>
        </w:r>
        <w:r w:rsidR="000040DE" w:rsidRPr="00E6003C">
          <w:rPr>
            <w:rStyle w:val="Lienhypertexte"/>
            <w:szCs w:val="24"/>
          </w:rPr>
          <w:t xml:space="preserve"> du CCP</w:t>
        </w:r>
      </w:hyperlink>
      <w:r w:rsidRPr="00B96033">
        <w:rPr>
          <w:szCs w:val="24"/>
        </w:rPr>
        <w:t xml:space="preserve"> prévoit </w:t>
      </w:r>
      <w:r w:rsidR="000D6FC4" w:rsidRPr="008C52F1">
        <w:rPr>
          <w:b/>
          <w:szCs w:val="24"/>
        </w:rPr>
        <w:t>deux</w:t>
      </w:r>
      <w:r w:rsidR="000D6FC4" w:rsidRPr="00B96033">
        <w:rPr>
          <w:szCs w:val="24"/>
        </w:rPr>
        <w:t xml:space="preserve"> </w:t>
      </w:r>
      <w:r w:rsidRPr="008C52F1">
        <w:rPr>
          <w:b/>
          <w:szCs w:val="24"/>
        </w:rPr>
        <w:t>exceptions possibles</w:t>
      </w:r>
      <w:r w:rsidRPr="00B96033">
        <w:rPr>
          <w:szCs w:val="24"/>
        </w:rPr>
        <w:t xml:space="preserve"> à l’obligation</w:t>
      </w:r>
      <w:r w:rsidR="00283DC0">
        <w:rPr>
          <w:szCs w:val="24"/>
        </w:rPr>
        <w:t xml:space="preserve"> d’allotir</w:t>
      </w:r>
      <w:r w:rsidRPr="00B96033">
        <w:rPr>
          <w:szCs w:val="24"/>
        </w:rPr>
        <w:t xml:space="preserve">, mais </w:t>
      </w:r>
      <w:r w:rsidR="000D6FC4" w:rsidRPr="00B96033">
        <w:rPr>
          <w:szCs w:val="24"/>
        </w:rPr>
        <w:t>qui sont encadrées strictement :</w:t>
      </w:r>
      <w:r w:rsidR="000D6FC4">
        <w:rPr>
          <w:szCs w:val="24"/>
        </w:rPr>
        <w:t xml:space="preserve"> </w:t>
      </w:r>
    </w:p>
    <w:p w14:paraId="201462BE" w14:textId="537CF014" w:rsidR="000D6FC4" w:rsidRPr="000D6FC4" w:rsidRDefault="000D6FC4" w:rsidP="00C760C0">
      <w:pPr>
        <w:pStyle w:val="Paragraphedeliste"/>
        <w:numPr>
          <w:ilvl w:val="0"/>
          <w:numId w:val="32"/>
        </w:numPr>
        <w:tabs>
          <w:tab w:val="left" w:pos="1786"/>
        </w:tabs>
        <w:spacing w:before="40" w:after="40"/>
        <w:ind w:left="714" w:hanging="357"/>
        <w:contextualSpacing w:val="0"/>
        <w:jc w:val="both"/>
        <w:rPr>
          <w:szCs w:val="24"/>
        </w:rPr>
      </w:pPr>
      <w:r>
        <w:rPr>
          <w:szCs w:val="24"/>
        </w:rPr>
        <w:t>lorsque l’acheteur</w:t>
      </w:r>
      <w:r w:rsidRPr="000D6FC4">
        <w:rPr>
          <w:szCs w:val="24"/>
        </w:rPr>
        <w:t xml:space="preserve"> n'est pas en mesure d'assurer par lui-même les missions d'organisation, de pilotage et de coordination ;</w:t>
      </w:r>
    </w:p>
    <w:p w14:paraId="700C42EC" w14:textId="7BBC97A2" w:rsidR="000D6FC4" w:rsidRDefault="000D6FC4" w:rsidP="00C760C0">
      <w:pPr>
        <w:pStyle w:val="Paragraphedeliste"/>
        <w:numPr>
          <w:ilvl w:val="0"/>
          <w:numId w:val="32"/>
        </w:numPr>
        <w:tabs>
          <w:tab w:val="left" w:pos="1786"/>
        </w:tabs>
        <w:spacing w:before="40" w:after="120"/>
        <w:ind w:left="714" w:hanging="357"/>
        <w:jc w:val="both"/>
        <w:rPr>
          <w:szCs w:val="24"/>
        </w:rPr>
      </w:pPr>
      <w:r>
        <w:rPr>
          <w:szCs w:val="24"/>
        </w:rPr>
        <w:t>lorsque l</w:t>
      </w:r>
      <w:r w:rsidRPr="000D6FC4">
        <w:rPr>
          <w:szCs w:val="24"/>
        </w:rPr>
        <w:t>a dévolution en lots séparés est de nature à restreindre la concurrence ou risque de rendre techniquement difficile ou financièrement plus coûteuse l'exécution des prestations</w:t>
      </w:r>
      <w:r>
        <w:rPr>
          <w:szCs w:val="24"/>
        </w:rPr>
        <w:t>.</w:t>
      </w:r>
    </w:p>
    <w:p w14:paraId="3749A4C9" w14:textId="05AE7336" w:rsidR="00C217B2" w:rsidRDefault="006E75C8" w:rsidP="006E75C8">
      <w:pPr>
        <w:tabs>
          <w:tab w:val="left" w:pos="1786"/>
        </w:tabs>
        <w:spacing w:after="120"/>
        <w:jc w:val="both"/>
        <w:rPr>
          <w:szCs w:val="24"/>
        </w:rPr>
      </w:pPr>
      <w:r w:rsidRPr="006E75C8">
        <w:rPr>
          <w:szCs w:val="24"/>
        </w:rPr>
        <w:t>Le choix d’al</w:t>
      </w:r>
      <w:r>
        <w:rPr>
          <w:szCs w:val="24"/>
        </w:rPr>
        <w:t>lotir ou de recourir à un marché global peut dépendre</w:t>
      </w:r>
      <w:r w:rsidRPr="006E75C8">
        <w:rPr>
          <w:szCs w:val="24"/>
        </w:rPr>
        <w:t xml:space="preserve"> </w:t>
      </w:r>
      <w:r w:rsidR="00283DC0">
        <w:rPr>
          <w:szCs w:val="24"/>
        </w:rPr>
        <w:t xml:space="preserve">des </w:t>
      </w:r>
      <w:r w:rsidR="00283DC0" w:rsidRPr="006E75C8">
        <w:rPr>
          <w:b/>
          <w:szCs w:val="24"/>
        </w:rPr>
        <w:t xml:space="preserve">moyens </w:t>
      </w:r>
      <w:r w:rsidR="00EC2457">
        <w:rPr>
          <w:b/>
          <w:szCs w:val="24"/>
        </w:rPr>
        <w:t xml:space="preserve">humains et techniques </w:t>
      </w:r>
      <w:r w:rsidR="00E1268B" w:rsidRPr="00E1268B">
        <w:rPr>
          <w:szCs w:val="24"/>
        </w:rPr>
        <w:t>dont dispose</w:t>
      </w:r>
      <w:r w:rsidR="00E1268B">
        <w:rPr>
          <w:b/>
          <w:szCs w:val="24"/>
        </w:rPr>
        <w:t xml:space="preserve"> </w:t>
      </w:r>
      <w:r w:rsidR="00283DC0" w:rsidRPr="006E75C8">
        <w:rPr>
          <w:b/>
          <w:szCs w:val="24"/>
        </w:rPr>
        <w:t>la personne publique</w:t>
      </w:r>
      <w:r w:rsidR="00283DC0">
        <w:rPr>
          <w:szCs w:val="24"/>
        </w:rPr>
        <w:t xml:space="preserve"> </w:t>
      </w:r>
      <w:r w:rsidRPr="006E75C8">
        <w:rPr>
          <w:szCs w:val="24"/>
        </w:rPr>
        <w:t>pour coordonner et suivre l’exécution du marché</w:t>
      </w:r>
      <w:r>
        <w:rPr>
          <w:szCs w:val="24"/>
        </w:rPr>
        <w:t>, a fortiori quand celui-ci est complexe (ex : multiplicité de prestations techniques dans un calendrier contraint)</w:t>
      </w:r>
      <w:r w:rsidRPr="006E75C8">
        <w:rPr>
          <w:szCs w:val="24"/>
        </w:rPr>
        <w:t xml:space="preserve">. </w:t>
      </w:r>
      <w:r w:rsidR="00EC2457">
        <w:rPr>
          <w:szCs w:val="24"/>
        </w:rPr>
        <w:t>Il lui est loisible de s’adjoindre les services d’un maitr</w:t>
      </w:r>
      <w:r w:rsidR="007101F3">
        <w:rPr>
          <w:szCs w:val="24"/>
        </w:rPr>
        <w:t>ise d’ouvrage déléguée</w:t>
      </w:r>
      <w:r w:rsidR="00EC2457">
        <w:rPr>
          <w:szCs w:val="24"/>
        </w:rPr>
        <w:t>, auquel cas le recours à un marché non alloti semblera peu justifié</w:t>
      </w:r>
      <w:r w:rsidR="00EC2457">
        <w:rPr>
          <w:rStyle w:val="Appelnotedebasdep"/>
          <w:szCs w:val="24"/>
        </w:rPr>
        <w:footnoteReference w:id="9"/>
      </w:r>
      <w:r w:rsidR="00EC2457">
        <w:rPr>
          <w:szCs w:val="24"/>
        </w:rPr>
        <w:t>.</w:t>
      </w:r>
    </w:p>
    <w:p w14:paraId="290520B3" w14:textId="6D7F193F" w:rsidR="00A86A9D" w:rsidRPr="00142ADA" w:rsidRDefault="00505C0E" w:rsidP="006E75C8">
      <w:pPr>
        <w:tabs>
          <w:tab w:val="left" w:pos="1786"/>
        </w:tabs>
        <w:spacing w:after="120"/>
        <w:jc w:val="both"/>
        <w:rPr>
          <w:color w:val="FF0000"/>
          <w:szCs w:val="24"/>
        </w:rPr>
      </w:pPr>
      <w:r w:rsidRPr="00142ADA">
        <w:rPr>
          <w:color w:val="FF0000"/>
          <w:szCs w:val="24"/>
        </w:rPr>
        <w:t>L</w:t>
      </w:r>
      <w:r w:rsidR="00A86A9D" w:rsidRPr="00142ADA">
        <w:rPr>
          <w:color w:val="FF0000"/>
          <w:szCs w:val="24"/>
        </w:rPr>
        <w:t>e recours au marché global constitue</w:t>
      </w:r>
      <w:r w:rsidRPr="00142ADA">
        <w:rPr>
          <w:color w:val="FF0000"/>
          <w:szCs w:val="24"/>
        </w:rPr>
        <w:t xml:space="preserve"> donc</w:t>
      </w:r>
      <w:r w:rsidR="00A86A9D" w:rsidRPr="00142ADA">
        <w:rPr>
          <w:color w:val="FF0000"/>
          <w:szCs w:val="24"/>
        </w:rPr>
        <w:t xml:space="preserve"> une dérogation ponctuelle et l’allotissement le principe général, auquel la structure publique  ne peut se soustraire pour des raisons de convenance organisationnelle. </w:t>
      </w:r>
    </w:p>
    <w:p w14:paraId="4A2A68DE" w14:textId="7486226E" w:rsidR="00E1268B" w:rsidRPr="00E1268B" w:rsidRDefault="00E1268B" w:rsidP="006E75C8">
      <w:pPr>
        <w:tabs>
          <w:tab w:val="left" w:pos="1786"/>
        </w:tabs>
        <w:spacing w:after="120"/>
        <w:jc w:val="both"/>
        <w:rPr>
          <w:szCs w:val="24"/>
        </w:rPr>
      </w:pPr>
      <w:r>
        <w:rPr>
          <w:szCs w:val="24"/>
        </w:rPr>
        <w:t xml:space="preserve">Certains acheteurs </w:t>
      </w:r>
      <w:r w:rsidR="00A86A9D">
        <w:rPr>
          <w:szCs w:val="24"/>
        </w:rPr>
        <w:t>optent</w:t>
      </w:r>
      <w:r>
        <w:rPr>
          <w:szCs w:val="24"/>
        </w:rPr>
        <w:t xml:space="preserve"> </w:t>
      </w:r>
      <w:r w:rsidR="00A86A9D">
        <w:rPr>
          <w:szCs w:val="24"/>
        </w:rPr>
        <w:t>pour un intermédiaire</w:t>
      </w:r>
      <w:r>
        <w:rPr>
          <w:szCs w:val="24"/>
        </w:rPr>
        <w:t xml:space="preserve"> entre l’allotissement et le marché global</w:t>
      </w:r>
      <w:r w:rsidR="00A86A9D">
        <w:rPr>
          <w:szCs w:val="24"/>
        </w:rPr>
        <w:t xml:space="preserve"> </w:t>
      </w:r>
      <w:r>
        <w:rPr>
          <w:szCs w:val="24"/>
        </w:rPr>
        <w:t>par la mise en place de « </w:t>
      </w:r>
      <w:r w:rsidRPr="0059600A">
        <w:rPr>
          <w:b/>
          <w:szCs w:val="24"/>
        </w:rPr>
        <w:t>macro-lots</w:t>
      </w:r>
      <w:r>
        <w:rPr>
          <w:szCs w:val="24"/>
        </w:rPr>
        <w:t> »</w:t>
      </w:r>
      <w:r w:rsidR="00AE5077" w:rsidRPr="00AE5077">
        <w:rPr>
          <w:szCs w:val="24"/>
        </w:rPr>
        <w:t xml:space="preserve"> </w:t>
      </w:r>
      <w:r w:rsidR="00AE5077">
        <w:rPr>
          <w:szCs w:val="24"/>
        </w:rPr>
        <w:t>(issus de la pratique, mais pas des textes)</w:t>
      </w:r>
      <w:r w:rsidR="0059600A">
        <w:rPr>
          <w:szCs w:val="24"/>
        </w:rPr>
        <w:t>. Ceux-ci</w:t>
      </w:r>
      <w:r>
        <w:rPr>
          <w:szCs w:val="24"/>
        </w:rPr>
        <w:t xml:space="preserve"> permettent</w:t>
      </w:r>
      <w:r w:rsidR="0059600A">
        <w:rPr>
          <w:szCs w:val="24"/>
        </w:rPr>
        <w:t>,</w:t>
      </w:r>
      <w:r>
        <w:rPr>
          <w:szCs w:val="24"/>
        </w:rPr>
        <w:t xml:space="preserve"> </w:t>
      </w:r>
      <w:r w:rsidR="00AE5077">
        <w:rPr>
          <w:szCs w:val="24"/>
        </w:rPr>
        <w:t>par exemple dans le domaine des travaux</w:t>
      </w:r>
      <w:r w:rsidR="0059600A">
        <w:rPr>
          <w:szCs w:val="24"/>
        </w:rPr>
        <w:t>,</w:t>
      </w:r>
      <w:r w:rsidR="00AE5077">
        <w:rPr>
          <w:szCs w:val="24"/>
        </w:rPr>
        <w:t xml:space="preserve"> </w:t>
      </w:r>
      <w:r>
        <w:rPr>
          <w:szCs w:val="24"/>
        </w:rPr>
        <w:t xml:space="preserve">de regrouper </w:t>
      </w:r>
      <w:r w:rsidR="00AE5077">
        <w:rPr>
          <w:szCs w:val="24"/>
        </w:rPr>
        <w:t>certaines prestations pouvant être réalisées par un même corps de métier dans un seul lot, tout en opérant une certaine subdivision du chantier.</w:t>
      </w:r>
      <w:r w:rsidR="005359F4">
        <w:rPr>
          <w:szCs w:val="24"/>
        </w:rPr>
        <w:t xml:space="preserve"> </w:t>
      </w:r>
      <w:r w:rsidR="0059600A">
        <w:rPr>
          <w:szCs w:val="24"/>
        </w:rPr>
        <w:t xml:space="preserve">Ainsi, </w:t>
      </w:r>
      <w:r w:rsidR="003B7EBB">
        <w:rPr>
          <w:szCs w:val="24"/>
        </w:rPr>
        <w:t>les lots ne sont pas démultipliés, rendant le pilotage complexe, et le marché global est évité</w:t>
      </w:r>
      <w:r w:rsidR="00C760C0">
        <w:rPr>
          <w:szCs w:val="24"/>
        </w:rPr>
        <w:t xml:space="preserve">. </w:t>
      </w:r>
      <w:r w:rsidR="000A5705">
        <w:rPr>
          <w:szCs w:val="24"/>
        </w:rPr>
        <w:t>Cependant, s</w:t>
      </w:r>
      <w:r w:rsidR="005359F4">
        <w:rPr>
          <w:szCs w:val="24"/>
        </w:rPr>
        <w:t>i le regroupement opéré</w:t>
      </w:r>
      <w:r w:rsidR="000A5705">
        <w:rPr>
          <w:szCs w:val="24"/>
        </w:rPr>
        <w:t xml:space="preserve"> en macro-lots</w:t>
      </w:r>
      <w:r w:rsidR="005359F4">
        <w:rPr>
          <w:szCs w:val="24"/>
        </w:rPr>
        <w:t xml:space="preserve"> s’avère trop conséquent, il sera sanctionné par le juge</w:t>
      </w:r>
      <w:r w:rsidR="005359F4">
        <w:rPr>
          <w:rStyle w:val="Appelnotedebasdep"/>
          <w:szCs w:val="24"/>
        </w:rPr>
        <w:footnoteReference w:id="10"/>
      </w:r>
      <w:r w:rsidR="005359F4">
        <w:rPr>
          <w:szCs w:val="24"/>
        </w:rPr>
        <w:t>.</w:t>
      </w:r>
    </w:p>
    <w:p w14:paraId="49D78DA5" w14:textId="1E34B9F4" w:rsidR="00030C94" w:rsidRDefault="00A86A9D" w:rsidP="005473C1">
      <w:pPr>
        <w:tabs>
          <w:tab w:val="left" w:pos="1786"/>
        </w:tabs>
        <w:spacing w:after="120"/>
        <w:jc w:val="both"/>
        <w:rPr>
          <w:szCs w:val="24"/>
        </w:rPr>
      </w:pPr>
      <w:r w:rsidRPr="004453F8">
        <w:rPr>
          <w:noProof/>
          <w:lang w:eastAsia="fr-FR"/>
        </w:rPr>
        <w:drawing>
          <wp:anchor distT="0" distB="0" distL="114300" distR="114300" simplePos="0" relativeHeight="251784192" behindDoc="0" locked="0" layoutInCell="1" allowOverlap="1" wp14:anchorId="7BCB31E6" wp14:editId="7D548F83">
            <wp:simplePos x="0" y="0"/>
            <wp:positionH relativeFrom="margin">
              <wp:align>left</wp:align>
            </wp:positionH>
            <wp:positionV relativeFrom="paragraph">
              <wp:posOffset>7648</wp:posOffset>
            </wp:positionV>
            <wp:extent cx="357505" cy="357505"/>
            <wp:effectExtent l="0" t="0" r="4445" b="4445"/>
            <wp:wrapSquare wrapText="bothSides"/>
            <wp:docPr id="42" name="Image 42" descr="C:\Users\schleilat-adc\Downloads\war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chleilat-adc\Downloads\warning.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14:sizeRelH relativeFrom="page">
              <wp14:pctWidth>0</wp14:pctWidth>
            </wp14:sizeRelH>
            <wp14:sizeRelV relativeFrom="page">
              <wp14:pctHeight>0</wp14:pctHeight>
            </wp14:sizeRelV>
          </wp:anchor>
        </w:drawing>
      </w:r>
      <w:r w:rsidR="00030C94" w:rsidRPr="00EF6A27">
        <w:rPr>
          <w:szCs w:val="24"/>
        </w:rPr>
        <w:t xml:space="preserve">En toute hypothèse, l’acheteur doit être </w:t>
      </w:r>
      <w:r w:rsidR="00D46391">
        <w:rPr>
          <w:szCs w:val="24"/>
        </w:rPr>
        <w:t>en capacité de justifier son choix</w:t>
      </w:r>
      <w:r w:rsidR="00C52E56">
        <w:rPr>
          <w:szCs w:val="24"/>
        </w:rPr>
        <w:t xml:space="preserve"> dans les documents de la consultation</w:t>
      </w:r>
      <w:r w:rsidR="00AF2E50">
        <w:rPr>
          <w:szCs w:val="24"/>
        </w:rPr>
        <w:t xml:space="preserve"> </w:t>
      </w:r>
      <w:r w:rsidR="00AF2E50" w:rsidRPr="00AF2E50">
        <w:rPr>
          <w:szCs w:val="24"/>
        </w:rPr>
        <w:t>ou le rapport de présentation</w:t>
      </w:r>
      <w:r w:rsidR="00AF2E50">
        <w:rPr>
          <w:szCs w:val="24"/>
        </w:rPr>
        <w:t xml:space="preserve">. </w:t>
      </w:r>
      <w:r w:rsidR="00030C94" w:rsidRPr="00EF6A27">
        <w:rPr>
          <w:szCs w:val="24"/>
        </w:rPr>
        <w:t>Le</w:t>
      </w:r>
      <w:r w:rsidR="00C52E56">
        <w:rPr>
          <w:szCs w:val="24"/>
        </w:rPr>
        <w:t xml:space="preserve"> cas échéant, le</w:t>
      </w:r>
      <w:r w:rsidR="00030C94" w:rsidRPr="00EF6A27">
        <w:rPr>
          <w:szCs w:val="24"/>
        </w:rPr>
        <w:t xml:space="preserve"> juge vérifie</w:t>
      </w:r>
      <w:r w:rsidR="00C52E56">
        <w:rPr>
          <w:szCs w:val="24"/>
        </w:rPr>
        <w:t>ra</w:t>
      </w:r>
      <w:r w:rsidR="00030C94" w:rsidRPr="00EF6A27">
        <w:rPr>
          <w:szCs w:val="24"/>
        </w:rPr>
        <w:t xml:space="preserve"> dans le cadre d’un contrôle dit « normal » si l’analyse et les justifications de l’acheteur sont entachées d’erreurs d’appréciation</w:t>
      </w:r>
      <w:r w:rsidR="00030C94" w:rsidRPr="00AB3AB1">
        <w:rPr>
          <w:szCs w:val="24"/>
          <w:vertAlign w:val="superscript"/>
        </w:rPr>
        <w:footnoteReference w:id="11"/>
      </w:r>
      <w:r w:rsidR="00030C94" w:rsidRPr="00EF6A27">
        <w:rPr>
          <w:szCs w:val="24"/>
        </w:rPr>
        <w:t>.</w:t>
      </w:r>
    </w:p>
    <w:p w14:paraId="7918BFD4" w14:textId="52478E57" w:rsidR="00D91D26" w:rsidRDefault="00C760C0" w:rsidP="001A1C17">
      <w:pPr>
        <w:pStyle w:val="Encart"/>
        <w:spacing w:after="80" w:line="264" w:lineRule="auto"/>
      </w:pPr>
      <w:r w:rsidRPr="00C760C0">
        <w:t xml:space="preserve">En synthèse, l’allotissement sera d’autant plus facile à réaliser que l’acheteur et le prescripteur auront acquis en amont une </w:t>
      </w:r>
      <w:r w:rsidRPr="00C760C0">
        <w:rPr>
          <w:b/>
        </w:rPr>
        <w:t>bonne connaissance du secteur concerné</w:t>
      </w:r>
      <w:r w:rsidRPr="00C760C0">
        <w:t>, afin de structurer les prestations en cohérence avec l’état de l’art et de la concurrence.</w:t>
      </w:r>
      <w:r>
        <w:t xml:space="preserve"> </w:t>
      </w:r>
      <w:r w:rsidR="00A86A9D" w:rsidRPr="00A86A9D">
        <w:rPr>
          <w:szCs w:val="24"/>
        </w:rPr>
        <w:t xml:space="preserve">Une </w:t>
      </w:r>
      <w:r w:rsidR="00A86A9D" w:rsidRPr="00C760C0">
        <w:rPr>
          <w:b/>
          <w:szCs w:val="24"/>
        </w:rPr>
        <w:t>antici</w:t>
      </w:r>
      <w:r>
        <w:rPr>
          <w:b/>
          <w:szCs w:val="24"/>
        </w:rPr>
        <w:t xml:space="preserve">pation des projets </w:t>
      </w:r>
      <w:r w:rsidR="00A86A9D" w:rsidRPr="00A86A9D">
        <w:rPr>
          <w:szCs w:val="24"/>
        </w:rPr>
        <w:t>doit</w:t>
      </w:r>
      <w:r w:rsidR="00AE5077">
        <w:rPr>
          <w:szCs w:val="24"/>
        </w:rPr>
        <w:t xml:space="preserve"> aussi contribuer à la conciliation des</w:t>
      </w:r>
      <w:r w:rsidR="00A86A9D" w:rsidRPr="00A86A9D">
        <w:rPr>
          <w:szCs w:val="24"/>
        </w:rPr>
        <w:t xml:space="preserve"> contraintes </w:t>
      </w:r>
      <w:r w:rsidR="00AE5077">
        <w:rPr>
          <w:szCs w:val="24"/>
        </w:rPr>
        <w:t xml:space="preserve">opérationnelles </w:t>
      </w:r>
      <w:r w:rsidR="00A86A9D" w:rsidRPr="00A86A9D">
        <w:rPr>
          <w:szCs w:val="24"/>
        </w:rPr>
        <w:t xml:space="preserve">et </w:t>
      </w:r>
      <w:r w:rsidR="00AE5077">
        <w:rPr>
          <w:szCs w:val="24"/>
        </w:rPr>
        <w:t xml:space="preserve">de </w:t>
      </w:r>
      <w:r w:rsidR="00A86A9D" w:rsidRPr="00A86A9D">
        <w:rPr>
          <w:szCs w:val="24"/>
        </w:rPr>
        <w:t>la nécessité d’allotir.</w:t>
      </w:r>
    </w:p>
    <w:p w14:paraId="7DBA4F69" w14:textId="41A8E6BB" w:rsidR="00452059" w:rsidRDefault="00452059" w:rsidP="001A1C17">
      <w:pPr>
        <w:pStyle w:val="Encart"/>
        <w:spacing w:before="60" w:line="264" w:lineRule="auto"/>
      </w:pPr>
      <w:r>
        <w:t xml:space="preserve">Il s’agit d’un </w:t>
      </w:r>
      <w:r w:rsidRPr="00452059">
        <w:rPr>
          <w:b/>
        </w:rPr>
        <w:t>rapport gagnant/gagnant</w:t>
      </w:r>
      <w:r>
        <w:t xml:space="preserve"> pour les collectivités publiques et pour les opérateurs économiques : d’une part, la stimulation de la concurrence permet d’obtenir des offres au meilleur rapport qualité/prix, d’autre part, elle permet aux PME d’accéder à la commande publique en tant que titulaire de marchés plutôt qu’en tant que sous-traitant, qui peut être soumis à une pression </w:t>
      </w:r>
      <w:r w:rsidR="00C217B2">
        <w:t>sur</w:t>
      </w:r>
      <w:r>
        <w:t xml:space="preserve"> ses prix</w:t>
      </w:r>
      <w:r w:rsidRPr="00452059">
        <w:t xml:space="preserve"> </w:t>
      </w:r>
      <w:r w:rsidR="00AE5077">
        <w:t>(</w:t>
      </w:r>
      <w:r w:rsidR="00CD11B6">
        <w:t xml:space="preserve">et donc sur </w:t>
      </w:r>
      <w:r>
        <w:t>la qualité des prestations).</w:t>
      </w:r>
    </w:p>
    <w:p w14:paraId="47CA4F1B" w14:textId="41A49800" w:rsidR="00C217B2" w:rsidRPr="00D306C4" w:rsidRDefault="00C217B2" w:rsidP="001A1C17">
      <w:pPr>
        <w:spacing w:before="180"/>
        <w:rPr>
          <w:rFonts w:eastAsia="Times New Roman"/>
        </w:rPr>
      </w:pPr>
      <w:bookmarkStart w:id="13" w:name="_Toc2867180"/>
      <w:r w:rsidRPr="00C217B2">
        <w:rPr>
          <w:rFonts w:eastAsia="Times New Roman"/>
        </w:rPr>
        <w:t xml:space="preserve">Pour aller plus loin, vous pouvez consulter la fiche de la DAJ dédiée à </w:t>
      </w:r>
      <w:hyperlink r:id="rId34" w:history="1">
        <w:r w:rsidRPr="00C217B2">
          <w:rPr>
            <w:rStyle w:val="Lienhypertexte"/>
            <w:rFonts w:eastAsia="Times New Roman"/>
          </w:rPr>
          <w:t>l’allotissement</w:t>
        </w:r>
      </w:hyperlink>
      <w:r>
        <w:rPr>
          <w:rFonts w:eastAsia="Times New Roman"/>
        </w:rPr>
        <w:t>.</w:t>
      </w:r>
      <w:r>
        <w:rPr>
          <w:rFonts w:eastAsia="Times New Roman"/>
        </w:rPr>
        <w:br w:type="page"/>
      </w:r>
    </w:p>
    <w:p w14:paraId="1C40D6AD" w14:textId="0E4E99EA" w:rsidR="002429F6" w:rsidRDefault="002429F6" w:rsidP="00AF67E3">
      <w:pPr>
        <w:pStyle w:val="Titre1"/>
        <w:spacing w:before="0" w:after="240"/>
        <w:rPr>
          <w:rFonts w:eastAsia="Times New Roman"/>
        </w:rPr>
      </w:pPr>
      <w:bookmarkStart w:id="14" w:name="_Fiche_3_:"/>
      <w:bookmarkStart w:id="15" w:name="_Toc7425926"/>
      <w:bookmarkEnd w:id="14"/>
      <w:r>
        <w:rPr>
          <w:rFonts w:eastAsia="Times New Roman"/>
        </w:rPr>
        <w:lastRenderedPageBreak/>
        <w:t>Fiche 3 :</w:t>
      </w:r>
      <w:r w:rsidR="003A5C22">
        <w:rPr>
          <w:rFonts w:eastAsia="Times New Roman"/>
        </w:rPr>
        <w:t xml:space="preserve"> F</w:t>
      </w:r>
      <w:r w:rsidR="005D56FE">
        <w:rPr>
          <w:rFonts w:eastAsia="Times New Roman"/>
        </w:rPr>
        <w:t>ixer des</w:t>
      </w:r>
      <w:r w:rsidR="003A5C22">
        <w:rPr>
          <w:rFonts w:eastAsia="Times New Roman"/>
        </w:rPr>
        <w:t xml:space="preserve"> d</w:t>
      </w:r>
      <w:r>
        <w:rPr>
          <w:rFonts w:eastAsia="Times New Roman"/>
        </w:rPr>
        <w:t xml:space="preserve">élais de procédure </w:t>
      </w:r>
      <w:bookmarkEnd w:id="13"/>
      <w:r w:rsidR="00A20A6D">
        <w:rPr>
          <w:rFonts w:eastAsia="Times New Roman"/>
        </w:rPr>
        <w:t>adapt</w:t>
      </w:r>
      <w:r w:rsidR="006333E6">
        <w:rPr>
          <w:rFonts w:eastAsia="Times New Roman"/>
        </w:rPr>
        <w:t>é</w:t>
      </w:r>
      <w:r w:rsidR="00A20A6D">
        <w:rPr>
          <w:rFonts w:eastAsia="Times New Roman"/>
        </w:rPr>
        <w:t>s</w:t>
      </w:r>
      <w:bookmarkEnd w:id="15"/>
    </w:p>
    <w:p w14:paraId="7E78666A" w14:textId="4707DA3D" w:rsidR="002429F6" w:rsidRDefault="002429F6" w:rsidP="002429F6">
      <w:pPr>
        <w:tabs>
          <w:tab w:val="left" w:pos="0"/>
        </w:tabs>
        <w:spacing w:after="120"/>
        <w:jc w:val="both"/>
        <w:rPr>
          <w:rFonts w:eastAsia="Times New Roman" w:cs="Arial"/>
          <w:szCs w:val="21"/>
        </w:rPr>
      </w:pPr>
      <w:r>
        <w:rPr>
          <w:rFonts w:eastAsia="Times New Roman" w:cs="Arial"/>
          <w:szCs w:val="21"/>
        </w:rPr>
        <w:t xml:space="preserve">La détermination de délais de procédure adaptés est un </w:t>
      </w:r>
      <w:r w:rsidRPr="008A7AC0">
        <w:rPr>
          <w:rFonts w:eastAsia="Times New Roman" w:cs="Arial"/>
          <w:b/>
          <w:szCs w:val="21"/>
        </w:rPr>
        <w:t>point crucial pour favoriser l’intérêt des opérateurs</w:t>
      </w:r>
      <w:r>
        <w:rPr>
          <w:rFonts w:eastAsia="Times New Roman" w:cs="Arial"/>
          <w:szCs w:val="21"/>
        </w:rPr>
        <w:t xml:space="preserve"> économiques</w:t>
      </w:r>
      <w:r w:rsidR="00B44B48">
        <w:rPr>
          <w:rFonts w:eastAsia="Times New Roman" w:cs="Arial"/>
          <w:szCs w:val="21"/>
        </w:rPr>
        <w:t xml:space="preserve"> et ainsi augmenter la participation aux consultations</w:t>
      </w:r>
      <w:r>
        <w:rPr>
          <w:rFonts w:eastAsia="Times New Roman" w:cs="Arial"/>
          <w:szCs w:val="21"/>
        </w:rPr>
        <w:t xml:space="preserve">. Or, cet aspect est généralement traité comme le moyen principal de réduire le temps de procédure, ce qui est un mauvais calcul et contredit l’esprit même du texte. </w:t>
      </w:r>
    </w:p>
    <w:p w14:paraId="6BFDD9DB" w14:textId="23819F9D" w:rsidR="002429F6" w:rsidRDefault="00562588" w:rsidP="002429F6">
      <w:pPr>
        <w:tabs>
          <w:tab w:val="left" w:pos="0"/>
        </w:tabs>
        <w:spacing w:after="120"/>
        <w:ind w:left="227" w:right="227"/>
        <w:jc w:val="both"/>
        <w:rPr>
          <w:rFonts w:eastAsia="Times New Roman" w:cs="Arial"/>
          <w:szCs w:val="21"/>
        </w:rPr>
      </w:pPr>
      <w:r w:rsidRPr="00922262">
        <w:rPr>
          <w:rStyle w:val="Lienhypertexte"/>
          <w:noProof/>
          <w:szCs w:val="23"/>
          <w:lang w:eastAsia="fr-FR"/>
        </w:rPr>
        <w:drawing>
          <wp:anchor distT="0" distB="0" distL="114300" distR="114300" simplePos="0" relativeHeight="251753472" behindDoc="0" locked="0" layoutInCell="1" allowOverlap="1" wp14:anchorId="60149033" wp14:editId="500310DD">
            <wp:simplePos x="0" y="0"/>
            <wp:positionH relativeFrom="margin">
              <wp:align>left</wp:align>
            </wp:positionH>
            <wp:positionV relativeFrom="paragraph">
              <wp:posOffset>10459</wp:posOffset>
            </wp:positionV>
            <wp:extent cx="431165" cy="431165"/>
            <wp:effectExtent l="0" t="0" r="6985" b="6985"/>
            <wp:wrapSquare wrapText="bothSides"/>
            <wp:docPr id="22" name="Image 22" descr="K:\1ESD\1C\COMMUN1C\06. OECP\3 - GT OECP\GT_acces-TPE-PME\Projet de guide\Icônes\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1ESD\1C\COMMUN1C\06. OECP\3 - GT OECP\GT_acces-TPE-PME\Projet de guide\Icônes\book.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flipH="1">
                      <a:off x="0" y="0"/>
                      <a:ext cx="431165" cy="431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1C6F">
        <w:rPr>
          <w:rFonts w:eastAsia="Times New Roman" w:cs="Arial"/>
          <w:szCs w:val="21"/>
        </w:rPr>
        <w:t xml:space="preserve">Les </w:t>
      </w:r>
      <w:r w:rsidR="002429F6" w:rsidRPr="00313004">
        <w:rPr>
          <w:rFonts w:eastAsia="Times New Roman" w:cs="Arial"/>
          <w:szCs w:val="21"/>
        </w:rPr>
        <w:t>ar</w:t>
      </w:r>
      <w:r w:rsidR="002429F6" w:rsidRPr="00315C70">
        <w:rPr>
          <w:rFonts w:eastAsia="Times New Roman" w:cs="Arial"/>
          <w:szCs w:val="21"/>
        </w:rPr>
        <w:t>ticle</w:t>
      </w:r>
      <w:r w:rsidR="00B01C6F">
        <w:rPr>
          <w:rFonts w:eastAsia="Times New Roman" w:cs="Arial"/>
          <w:szCs w:val="21"/>
        </w:rPr>
        <w:t>s</w:t>
      </w:r>
      <w:r w:rsidR="002429F6" w:rsidRPr="00315C70">
        <w:rPr>
          <w:rFonts w:eastAsia="Times New Roman" w:cs="Arial"/>
          <w:szCs w:val="21"/>
        </w:rPr>
        <w:t xml:space="preserve"> R</w:t>
      </w:r>
      <w:r w:rsidR="009C0B97">
        <w:rPr>
          <w:rFonts w:eastAsia="Times New Roman" w:cs="Arial"/>
          <w:szCs w:val="21"/>
        </w:rPr>
        <w:t xml:space="preserve">. </w:t>
      </w:r>
      <w:r w:rsidR="002429F6" w:rsidRPr="00315C70">
        <w:rPr>
          <w:rFonts w:eastAsia="Times New Roman" w:cs="Arial"/>
          <w:szCs w:val="21"/>
        </w:rPr>
        <w:t>2143-1</w:t>
      </w:r>
      <w:r w:rsidR="002429F6">
        <w:rPr>
          <w:rFonts w:eastAsia="Times New Roman" w:cs="Arial"/>
          <w:szCs w:val="21"/>
        </w:rPr>
        <w:t xml:space="preserve"> </w:t>
      </w:r>
      <w:r w:rsidR="00B01C6F">
        <w:rPr>
          <w:rFonts w:eastAsia="Times New Roman" w:cs="Arial"/>
          <w:szCs w:val="21"/>
        </w:rPr>
        <w:t xml:space="preserve">et </w:t>
      </w:r>
      <w:r w:rsidR="00B01C6F">
        <w:t>R. 2151-1</w:t>
      </w:r>
      <w:r w:rsidR="00B01C6F">
        <w:rPr>
          <w:rFonts w:eastAsia="Times New Roman" w:cs="Arial"/>
          <w:szCs w:val="21"/>
        </w:rPr>
        <w:t xml:space="preserve"> </w:t>
      </w:r>
      <w:r w:rsidR="002429F6">
        <w:rPr>
          <w:rFonts w:eastAsia="Times New Roman" w:cs="Arial"/>
          <w:szCs w:val="21"/>
        </w:rPr>
        <w:t>du CCP d</w:t>
      </w:r>
      <w:r w:rsidR="002429F6" w:rsidRPr="003A5021">
        <w:rPr>
          <w:rFonts w:eastAsia="Times New Roman" w:cs="Arial"/>
          <w:szCs w:val="21"/>
        </w:rPr>
        <w:t>ispose</w:t>
      </w:r>
      <w:r w:rsidR="00B01C6F">
        <w:rPr>
          <w:rFonts w:eastAsia="Times New Roman" w:cs="Arial"/>
          <w:szCs w:val="21"/>
        </w:rPr>
        <w:t>nt que</w:t>
      </w:r>
      <w:r w:rsidR="002429F6" w:rsidRPr="003A5021">
        <w:rPr>
          <w:rFonts w:eastAsia="Times New Roman" w:cs="Arial"/>
          <w:szCs w:val="21"/>
        </w:rPr>
        <w:t> </w:t>
      </w:r>
      <w:r w:rsidR="002429F6" w:rsidRPr="00B01C6F">
        <w:rPr>
          <w:rFonts w:eastAsia="Times New Roman" w:cs="Arial"/>
          <w:szCs w:val="21"/>
        </w:rPr>
        <w:t xml:space="preserve">l’acheteur fixe les délais de réception des candidatures et des offres </w:t>
      </w:r>
      <w:r w:rsidR="002429F6" w:rsidRPr="00B01C6F">
        <w:rPr>
          <w:rFonts w:eastAsia="Times New Roman" w:cs="Arial"/>
          <w:szCs w:val="21"/>
          <w:u w:val="single"/>
        </w:rPr>
        <w:t>en tenant compte de la complexité du marché public et du temps nécessaire aux opérateurs économiques</w:t>
      </w:r>
      <w:r w:rsidR="002429F6" w:rsidRPr="00B01C6F">
        <w:rPr>
          <w:rFonts w:eastAsia="Times New Roman" w:cs="Arial"/>
          <w:szCs w:val="21"/>
        </w:rPr>
        <w:t xml:space="preserve"> pour préparer leur candidature et leur offre</w:t>
      </w:r>
      <w:r w:rsidR="002429F6" w:rsidRPr="003A5021">
        <w:rPr>
          <w:rFonts w:eastAsia="Times New Roman" w:cs="Arial"/>
          <w:szCs w:val="21"/>
        </w:rPr>
        <w:t xml:space="preserve">. </w:t>
      </w:r>
    </w:p>
    <w:p w14:paraId="2FE6D4FE" w14:textId="30A9C345" w:rsidR="006E2093" w:rsidRDefault="006E2093" w:rsidP="002429F6">
      <w:pPr>
        <w:tabs>
          <w:tab w:val="left" w:pos="0"/>
        </w:tabs>
        <w:spacing w:before="0" w:after="120"/>
        <w:ind w:right="227"/>
        <w:jc w:val="both"/>
        <w:rPr>
          <w:rFonts w:eastAsia="Times New Roman" w:cs="Arial"/>
          <w:szCs w:val="21"/>
        </w:rPr>
      </w:pPr>
      <w:r w:rsidRPr="006E2093">
        <w:rPr>
          <w:rFonts w:eastAsia="Times New Roman" w:cs="Arial"/>
          <w:szCs w:val="21"/>
        </w:rPr>
        <w:t xml:space="preserve">En procédure formalisée, les </w:t>
      </w:r>
      <w:r w:rsidRPr="006E2093">
        <w:rPr>
          <w:rFonts w:eastAsia="Times New Roman" w:cs="Arial"/>
          <w:b/>
          <w:szCs w:val="21"/>
        </w:rPr>
        <w:t>délais minimaux</w:t>
      </w:r>
      <w:r w:rsidRPr="006E2093">
        <w:rPr>
          <w:rFonts w:eastAsia="Times New Roman" w:cs="Arial"/>
          <w:szCs w:val="21"/>
        </w:rPr>
        <w:t xml:space="preserve"> de réception des candidatures et des offres sont fixés à 30 jours (hors cas d’urgence dûment just</w:t>
      </w:r>
      <w:r>
        <w:rPr>
          <w:rFonts w:eastAsia="Times New Roman" w:cs="Arial"/>
          <w:szCs w:val="21"/>
        </w:rPr>
        <w:t>ifié ou avis de pré-information)</w:t>
      </w:r>
      <w:r w:rsidRPr="003A5021">
        <w:rPr>
          <w:rFonts w:eastAsia="Times New Roman"/>
          <w:szCs w:val="21"/>
          <w:vertAlign w:val="superscript"/>
        </w:rPr>
        <w:footnoteReference w:id="12"/>
      </w:r>
      <w:r w:rsidRPr="006E2093">
        <w:rPr>
          <w:rFonts w:eastAsia="Times New Roman" w:cs="Arial"/>
          <w:szCs w:val="21"/>
        </w:rPr>
        <w:t>. En MAPA, ils sont à la discrétion de l’acheteur mais doivent être malgré tout suffisants.</w:t>
      </w:r>
    </w:p>
    <w:p w14:paraId="5ED880EF" w14:textId="2EEAC8C2" w:rsidR="002429F6" w:rsidRDefault="002429F6" w:rsidP="002429F6">
      <w:pPr>
        <w:tabs>
          <w:tab w:val="left" w:pos="0"/>
        </w:tabs>
        <w:spacing w:before="0" w:after="120"/>
        <w:ind w:right="227"/>
        <w:jc w:val="both"/>
        <w:rPr>
          <w:rFonts w:eastAsia="Times New Roman" w:cs="Arial"/>
          <w:szCs w:val="21"/>
        </w:rPr>
      </w:pPr>
      <w:r>
        <w:rPr>
          <w:rFonts w:eastAsia="Times New Roman" w:cs="Arial"/>
          <w:noProof/>
          <w:szCs w:val="21"/>
          <w:lang w:eastAsia="fr-FR"/>
        </w:rPr>
        <w:drawing>
          <wp:anchor distT="0" distB="0" distL="114300" distR="114300" simplePos="0" relativeHeight="251728896" behindDoc="0" locked="0" layoutInCell="1" allowOverlap="1" wp14:anchorId="6414B775" wp14:editId="09CEF1E0">
            <wp:simplePos x="0" y="0"/>
            <wp:positionH relativeFrom="margin">
              <wp:posOffset>4650105</wp:posOffset>
            </wp:positionH>
            <wp:positionV relativeFrom="paragraph">
              <wp:posOffset>665480</wp:posOffset>
            </wp:positionV>
            <wp:extent cx="946150" cy="572135"/>
            <wp:effectExtent l="0" t="0" r="0" b="0"/>
            <wp:wrapSquare wrapText="bothSides"/>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46150" cy="572135"/>
                    </a:xfrm>
                    <a:prstGeom prst="rect">
                      <a:avLst/>
                    </a:prstGeom>
                    <a:noFill/>
                  </pic:spPr>
                </pic:pic>
              </a:graphicData>
            </a:graphic>
            <wp14:sizeRelH relativeFrom="margin">
              <wp14:pctWidth>0</wp14:pctWidth>
            </wp14:sizeRelH>
            <wp14:sizeRelV relativeFrom="margin">
              <wp14:pctHeight>0</wp14:pctHeight>
            </wp14:sizeRelV>
          </wp:anchor>
        </w:drawing>
      </w:r>
      <w:r>
        <w:rPr>
          <w:rFonts w:eastAsia="Times New Roman" w:cs="Arial"/>
          <w:szCs w:val="21"/>
        </w:rPr>
        <w:t>Dans la plupart des cas, les acheteurs retiennent m</w:t>
      </w:r>
      <w:r w:rsidRPr="00812D32">
        <w:rPr>
          <w:rFonts w:eastAsia="Times New Roman" w:cs="Arial"/>
          <w:szCs w:val="21"/>
        </w:rPr>
        <w:t>écaniquement les délais minimaux comme base de référence</w:t>
      </w:r>
      <w:r>
        <w:rPr>
          <w:rFonts w:eastAsia="Times New Roman" w:cs="Arial"/>
          <w:szCs w:val="21"/>
        </w:rPr>
        <w:t xml:space="preserve"> dans leur retro-planning</w:t>
      </w:r>
      <w:r w:rsidRPr="00812D32">
        <w:rPr>
          <w:rFonts w:eastAsia="Times New Roman" w:cs="Arial"/>
          <w:szCs w:val="21"/>
        </w:rPr>
        <w:t>, quel que soit l’achat concerné. La nécessit</w:t>
      </w:r>
      <w:r w:rsidR="001C6E12">
        <w:rPr>
          <w:rFonts w:eastAsia="Times New Roman" w:cs="Arial"/>
          <w:szCs w:val="21"/>
        </w:rPr>
        <w:t>é</w:t>
      </w:r>
      <w:r w:rsidRPr="00812D32">
        <w:rPr>
          <w:rFonts w:eastAsia="Times New Roman" w:cs="Arial"/>
          <w:szCs w:val="21"/>
        </w:rPr>
        <w:t xml:space="preserve"> de livrer à temps le service l’emporte généralement sur d’autres considérations. </w:t>
      </w:r>
    </w:p>
    <w:p w14:paraId="32D744F7" w14:textId="728192BD" w:rsidR="002429F6" w:rsidRPr="00812D32" w:rsidRDefault="002429F6" w:rsidP="002429F6">
      <w:pPr>
        <w:tabs>
          <w:tab w:val="left" w:pos="0"/>
        </w:tabs>
        <w:spacing w:after="120"/>
        <w:ind w:right="227"/>
        <w:jc w:val="both"/>
        <w:rPr>
          <w:rFonts w:eastAsia="Times New Roman" w:cs="Arial"/>
          <w:szCs w:val="21"/>
        </w:rPr>
      </w:pPr>
      <w:r w:rsidRPr="00812D32">
        <w:rPr>
          <w:rFonts w:eastAsia="Times New Roman" w:cs="Arial"/>
          <w:szCs w:val="21"/>
        </w:rPr>
        <w:t xml:space="preserve">Cependant, une </w:t>
      </w:r>
      <w:r w:rsidRPr="00812D32">
        <w:rPr>
          <w:rFonts w:eastAsia="Times New Roman" w:cs="Arial"/>
          <w:b/>
          <w:szCs w:val="21"/>
        </w:rPr>
        <w:t>meilleure anticipation</w:t>
      </w:r>
      <w:r>
        <w:rPr>
          <w:rFonts w:eastAsia="Times New Roman" w:cs="Arial"/>
          <w:b/>
          <w:szCs w:val="21"/>
        </w:rPr>
        <w:t xml:space="preserve"> </w:t>
      </w:r>
      <w:r w:rsidRPr="008A7AC0">
        <w:rPr>
          <w:rFonts w:eastAsia="Times New Roman" w:cs="Arial"/>
          <w:szCs w:val="21"/>
        </w:rPr>
        <w:t>des procédures</w:t>
      </w:r>
      <w:r w:rsidRPr="00812D32">
        <w:rPr>
          <w:rFonts w:eastAsia="Times New Roman" w:cs="Arial"/>
          <w:szCs w:val="21"/>
        </w:rPr>
        <w:t>,</w:t>
      </w:r>
      <w:r>
        <w:rPr>
          <w:rFonts w:eastAsia="Times New Roman" w:cs="Arial"/>
          <w:szCs w:val="21"/>
        </w:rPr>
        <w:t xml:space="preserve"> </w:t>
      </w:r>
      <w:r w:rsidR="00B36BEE" w:rsidRPr="007D2A36">
        <w:rPr>
          <w:rFonts w:eastAsia="Times New Roman" w:cs="Arial"/>
          <w:szCs w:val="21"/>
        </w:rPr>
        <w:t xml:space="preserve">par exemple </w:t>
      </w:r>
      <w:r>
        <w:rPr>
          <w:rFonts w:eastAsia="Times New Roman" w:cs="Arial"/>
          <w:szCs w:val="21"/>
        </w:rPr>
        <w:t xml:space="preserve">dans le cadre d’une programmation annuelle ou pluriannuelle des achats, </w:t>
      </w:r>
      <w:r w:rsidRPr="001D4B16">
        <w:rPr>
          <w:rFonts w:eastAsia="Times New Roman" w:cs="Arial"/>
          <w:szCs w:val="21"/>
        </w:rPr>
        <w:t>devrait permettre d’</w:t>
      </w:r>
      <w:r w:rsidRPr="001D4B16">
        <w:rPr>
          <w:rFonts w:eastAsia="Times New Roman" w:cs="Arial"/>
          <w:b/>
          <w:szCs w:val="21"/>
        </w:rPr>
        <w:t>allonger</w:t>
      </w:r>
      <w:r w:rsidRPr="00812D32">
        <w:rPr>
          <w:rFonts w:eastAsia="Times New Roman" w:cs="Arial"/>
          <w:b/>
          <w:szCs w:val="21"/>
        </w:rPr>
        <w:t xml:space="preserve"> progressivement les délais</w:t>
      </w:r>
      <w:r>
        <w:rPr>
          <w:rFonts w:eastAsia="Times New Roman" w:cs="Arial"/>
          <w:szCs w:val="21"/>
        </w:rPr>
        <w:t xml:space="preserve"> de réponse afin de stimuler la concurrence, de consolider la qualité des offres, mais aussi d’améliorer l’attractivité de la commande publique.</w:t>
      </w:r>
      <w:r w:rsidRPr="00812D32">
        <w:rPr>
          <w:rFonts w:eastAsia="Times New Roman" w:cs="Arial"/>
          <w:szCs w:val="21"/>
        </w:rPr>
        <w:t xml:space="preserve"> </w:t>
      </w:r>
    </w:p>
    <w:p w14:paraId="077D800A" w14:textId="2127B14A" w:rsidR="002429F6" w:rsidRDefault="002429F6" w:rsidP="002429F6">
      <w:pPr>
        <w:spacing w:after="120"/>
        <w:jc w:val="both"/>
        <w:rPr>
          <w:rFonts w:eastAsia="Times New Roman" w:cs="Arial"/>
          <w:szCs w:val="21"/>
        </w:rPr>
      </w:pPr>
      <w:r>
        <w:rPr>
          <w:rFonts w:eastAsia="Times New Roman" w:cs="Arial"/>
          <w:szCs w:val="21"/>
        </w:rPr>
        <w:t>Par ailleurs, un</w:t>
      </w:r>
      <w:r w:rsidRPr="003A5021">
        <w:rPr>
          <w:rFonts w:eastAsia="Times New Roman" w:cs="Arial"/>
          <w:szCs w:val="21"/>
        </w:rPr>
        <w:t xml:space="preserve"> délai qui respecte le minimum réglementaire pourrait être sanctionné par le juge administratif en fonction du cas d’espèce</w:t>
      </w:r>
      <w:r w:rsidRPr="003A5021">
        <w:rPr>
          <w:rFonts w:eastAsia="Times New Roman" w:cs="Arial"/>
          <w:szCs w:val="21"/>
          <w:vertAlign w:val="superscript"/>
        </w:rPr>
        <w:footnoteReference w:id="13"/>
      </w:r>
      <w:r w:rsidRPr="003A5021">
        <w:rPr>
          <w:rFonts w:eastAsia="Times New Roman" w:cs="Arial"/>
          <w:szCs w:val="21"/>
        </w:rPr>
        <w:t>.</w:t>
      </w:r>
    </w:p>
    <w:p w14:paraId="74A5BDF8" w14:textId="2F0434EC" w:rsidR="002429F6" w:rsidRPr="003A5021" w:rsidRDefault="002429F6" w:rsidP="00830E7F">
      <w:pPr>
        <w:pStyle w:val="Encart"/>
        <w:spacing w:line="264" w:lineRule="auto"/>
      </w:pPr>
      <w:r w:rsidRPr="003A5021">
        <w:t xml:space="preserve">Il relève </w:t>
      </w:r>
      <w:r>
        <w:t xml:space="preserve">donc </w:t>
      </w:r>
      <w:r w:rsidRPr="003A5021">
        <w:t>de la responsabilité des acheteurs</w:t>
      </w:r>
      <w:r>
        <w:t xml:space="preserve"> et des décideurs</w:t>
      </w:r>
      <w:r w:rsidRPr="003A5021">
        <w:t xml:space="preserve"> (et de leur intérêt en termes de qualité des offres) de bien </w:t>
      </w:r>
      <w:r w:rsidRPr="00812D32">
        <w:t>distinguer délais minimaux et délais nécessaires aux</w:t>
      </w:r>
      <w:r w:rsidRPr="00315C70">
        <w:rPr>
          <w:b/>
        </w:rPr>
        <w:t xml:space="preserve"> </w:t>
      </w:r>
      <w:r w:rsidRPr="00812D32">
        <w:t xml:space="preserve">entreprises </w:t>
      </w:r>
      <w:r w:rsidRPr="003A5021">
        <w:t xml:space="preserve">pour répondre au cahier des charges, </w:t>
      </w:r>
      <w:r w:rsidRPr="001F566B">
        <w:rPr>
          <w:i/>
        </w:rPr>
        <w:t>a fortiori</w:t>
      </w:r>
      <w:r w:rsidRPr="003A5021">
        <w:t xml:space="preserve"> quand une solution </w:t>
      </w:r>
      <w:r w:rsidR="001F566B">
        <w:t>performante</w:t>
      </w:r>
      <w:r w:rsidRPr="003A5021">
        <w:t xml:space="preserve"> est attendue.</w:t>
      </w:r>
    </w:p>
    <w:p w14:paraId="1575D818" w14:textId="165B11DD" w:rsidR="002429F6" w:rsidRDefault="002429F6" w:rsidP="002429F6">
      <w:pPr>
        <w:spacing w:after="60"/>
        <w:jc w:val="both"/>
        <w:rPr>
          <w:rFonts w:eastAsia="Times New Roman" w:cs="Arial"/>
          <w:szCs w:val="21"/>
        </w:rPr>
      </w:pPr>
      <w:r>
        <w:rPr>
          <w:rFonts w:eastAsia="Times New Roman" w:cs="Arial"/>
          <w:szCs w:val="21"/>
        </w:rPr>
        <w:t xml:space="preserve">Les délais de procédure ne sont pas seulement utiles à la constitution d’offres économiquement avantageuses, mais constituent également un </w:t>
      </w:r>
      <w:r w:rsidRPr="00B36BEE">
        <w:rPr>
          <w:rFonts w:eastAsia="Times New Roman" w:cs="Arial"/>
          <w:b/>
          <w:szCs w:val="21"/>
        </w:rPr>
        <w:t>temps de recherche de partenaires</w:t>
      </w:r>
      <w:r>
        <w:rPr>
          <w:rFonts w:eastAsia="Times New Roman" w:cs="Arial"/>
          <w:szCs w:val="21"/>
        </w:rPr>
        <w:t>. En effet, l</w:t>
      </w:r>
      <w:r w:rsidRPr="006654C5">
        <w:rPr>
          <w:rFonts w:eastAsia="Times New Roman" w:cs="Arial"/>
          <w:szCs w:val="21"/>
        </w:rPr>
        <w:t>es entreprises peuvent ê</w:t>
      </w:r>
      <w:r>
        <w:rPr>
          <w:rFonts w:eastAsia="Times New Roman" w:cs="Arial"/>
          <w:szCs w:val="21"/>
        </w:rPr>
        <w:t xml:space="preserve">tre amenées, notamment </w:t>
      </w:r>
      <w:r w:rsidRPr="006654C5">
        <w:rPr>
          <w:rFonts w:eastAsia="Times New Roman" w:cs="Arial"/>
          <w:szCs w:val="21"/>
        </w:rPr>
        <w:t>parce que la</w:t>
      </w:r>
      <w:r w:rsidR="00B36BEE">
        <w:rPr>
          <w:rFonts w:eastAsia="Times New Roman" w:cs="Arial"/>
          <w:szCs w:val="21"/>
        </w:rPr>
        <w:t xml:space="preserve"> réponse </w:t>
      </w:r>
      <w:r w:rsidRPr="006654C5">
        <w:rPr>
          <w:rFonts w:eastAsia="Times New Roman" w:cs="Arial"/>
          <w:szCs w:val="21"/>
        </w:rPr>
        <w:t>nécessite de s’adosser à d’autres compétences, à</w:t>
      </w:r>
      <w:r w:rsidRPr="00B36BEE">
        <w:rPr>
          <w:rFonts w:eastAsia="Times New Roman" w:cs="Arial"/>
          <w:szCs w:val="21"/>
        </w:rPr>
        <w:t xml:space="preserve"> candidater en groupement d’entreprises</w:t>
      </w:r>
      <w:r w:rsidR="00FB6459" w:rsidRPr="00B36BEE">
        <w:rPr>
          <w:rFonts w:eastAsia="Times New Roman" w:cs="Arial"/>
          <w:szCs w:val="21"/>
        </w:rPr>
        <w:t xml:space="preserve"> ou à rechercher des sous-traitants dans certains domaines</w:t>
      </w:r>
      <w:r w:rsidRPr="00B36BEE">
        <w:rPr>
          <w:rFonts w:eastAsia="Times New Roman" w:cs="Arial"/>
          <w:szCs w:val="21"/>
        </w:rPr>
        <w:t xml:space="preserve">. </w:t>
      </w:r>
    </w:p>
    <w:p w14:paraId="64EFD414" w14:textId="6B81192C" w:rsidR="002429F6" w:rsidRPr="003A5021" w:rsidRDefault="00B36BEE" w:rsidP="002429F6">
      <w:pPr>
        <w:spacing w:after="60"/>
        <w:jc w:val="both"/>
        <w:rPr>
          <w:rFonts w:eastAsia="Times New Roman" w:cs="Arial"/>
          <w:szCs w:val="21"/>
        </w:rPr>
      </w:pPr>
      <w:r w:rsidRPr="00B36BEE">
        <w:rPr>
          <w:rFonts w:eastAsia="Times New Roman" w:cs="Arial"/>
          <w:szCs w:val="21"/>
        </w:rPr>
        <w:t xml:space="preserve">Ces possibilités doivent être anticipées </w:t>
      </w:r>
      <w:r w:rsidR="002429F6" w:rsidRPr="006654C5">
        <w:rPr>
          <w:rFonts w:eastAsia="Times New Roman" w:cs="Arial"/>
          <w:szCs w:val="21"/>
        </w:rPr>
        <w:t>par l’acheteur et prise en compte dans la procédure</w:t>
      </w:r>
      <w:r w:rsidR="002429F6">
        <w:rPr>
          <w:rFonts w:eastAsia="Times New Roman" w:cs="Arial"/>
          <w:szCs w:val="21"/>
        </w:rPr>
        <w:t> : f</w:t>
      </w:r>
      <w:r w:rsidR="002429F6" w:rsidRPr="006654C5">
        <w:rPr>
          <w:rFonts w:eastAsia="Times New Roman" w:cs="Arial"/>
          <w:szCs w:val="21"/>
        </w:rPr>
        <w:t>aciliter la constitution des groupements nécessite de laisser suffisamment de temps, entre l’envoi de l’appel à concurrence à la publication et la fin du délai de dépôt des dossiers des entreprises, pour que les opérateurs économiqu</w:t>
      </w:r>
      <w:r w:rsidR="002429F6">
        <w:rPr>
          <w:rFonts w:eastAsia="Times New Roman" w:cs="Arial"/>
          <w:szCs w:val="21"/>
        </w:rPr>
        <w:t xml:space="preserve">es désirant se grouper puissent </w:t>
      </w:r>
      <w:r w:rsidR="002429F6" w:rsidRPr="006654C5">
        <w:rPr>
          <w:rFonts w:eastAsia="Times New Roman" w:cs="Arial"/>
          <w:szCs w:val="21"/>
        </w:rPr>
        <w:t xml:space="preserve">convenir de la relation contractuelle autour du marché. </w:t>
      </w:r>
    </w:p>
    <w:p w14:paraId="5FA7E86B" w14:textId="77777777" w:rsidR="002429F6" w:rsidRDefault="002429F6" w:rsidP="00580305">
      <w:pPr>
        <w:tabs>
          <w:tab w:val="left" w:pos="1268"/>
        </w:tabs>
        <w:spacing w:after="240" w:line="259" w:lineRule="auto"/>
        <w:jc w:val="both"/>
      </w:pPr>
      <w:r>
        <w:rPr>
          <w:noProof/>
          <w:lang w:eastAsia="fr-FR"/>
        </w:rPr>
        <w:drawing>
          <wp:anchor distT="0" distB="0" distL="114300" distR="114300" simplePos="0" relativeHeight="251729920" behindDoc="0" locked="0" layoutInCell="1" allowOverlap="1" wp14:anchorId="6321E734" wp14:editId="26AFA503">
            <wp:simplePos x="0" y="0"/>
            <wp:positionH relativeFrom="column">
              <wp:posOffset>-1298</wp:posOffset>
            </wp:positionH>
            <wp:positionV relativeFrom="paragraph">
              <wp:posOffset>22529</wp:posOffset>
            </wp:positionV>
            <wp:extent cx="974039" cy="481965"/>
            <wp:effectExtent l="0" t="0" r="0" b="0"/>
            <wp:wrapSquare wrapText="bothSides"/>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74039" cy="481965"/>
                    </a:xfrm>
                    <a:prstGeom prst="rect">
                      <a:avLst/>
                    </a:prstGeom>
                    <a:noFill/>
                  </pic:spPr>
                </pic:pic>
              </a:graphicData>
            </a:graphic>
            <wp14:sizeRelH relativeFrom="page">
              <wp14:pctWidth>0</wp14:pctWidth>
            </wp14:sizeRelH>
            <wp14:sizeRelV relativeFrom="page">
              <wp14:pctHeight>0</wp14:pctHeight>
            </wp14:sizeRelV>
          </wp:anchor>
        </w:drawing>
      </w:r>
      <w:r>
        <w:t xml:space="preserve">Enfin, au-delà du délai en lui-même, l’attention des acheteurs est appelée sur les </w:t>
      </w:r>
      <w:r w:rsidRPr="005B3458">
        <w:rPr>
          <w:b/>
        </w:rPr>
        <w:t>périodes de publication</w:t>
      </w:r>
      <w:r>
        <w:t>. Il convient en effet d’éviter les périodes de forte activité des entreprises, ou à l’inverse de faible activité (ex : période estivale) pour lancer des consultations qui pourraient de fait passer inaperçues. Lancer une consultation avant son départ en congés ne constitue pas une bonne pratique !</w:t>
      </w:r>
    </w:p>
    <w:p w14:paraId="478C32F4" w14:textId="77777777" w:rsidR="002429F6" w:rsidRDefault="002429F6" w:rsidP="00580305">
      <w:pPr>
        <w:pStyle w:val="Exemple"/>
        <w:framePr w:wrap="around"/>
        <w:spacing w:after="120"/>
      </w:pPr>
      <w:r w:rsidRPr="001A1910">
        <w:t>Par exemple, l’UGAP fixe rarement un délai de 30 jours pour la réponse aux appels d’offres. En général, les délais moyen</w:t>
      </w:r>
      <w:r>
        <w:t>s</w:t>
      </w:r>
      <w:r w:rsidRPr="001A1910">
        <w:t xml:space="preserve"> s’élèvent à 40-45 jours de consultation à compter de la publication et le mois d’août est systématiquement neutralisé.</w:t>
      </w:r>
    </w:p>
    <w:p w14:paraId="4247619A" w14:textId="664BA287" w:rsidR="000D3C07" w:rsidRDefault="002429F6" w:rsidP="001E4D3D">
      <w:pPr>
        <w:pStyle w:val="Titre1"/>
        <w:spacing w:after="240"/>
      </w:pPr>
      <w:bookmarkStart w:id="16" w:name="_Toc2867179"/>
      <w:bookmarkStart w:id="17" w:name="_Toc7425927"/>
      <w:r>
        <w:rPr>
          <w:rFonts w:eastAsia="Times New Roman"/>
        </w:rPr>
        <w:lastRenderedPageBreak/>
        <w:t>Fiche</w:t>
      </w:r>
      <w:r>
        <w:t xml:space="preserve"> 4 : </w:t>
      </w:r>
      <w:r w:rsidR="000D3C07">
        <w:t>C</w:t>
      </w:r>
      <w:r w:rsidR="00233ED2">
        <w:t>hoisir les c</w:t>
      </w:r>
      <w:r w:rsidR="000D3C07">
        <w:t>ritères d</w:t>
      </w:r>
      <w:r w:rsidR="00C52468">
        <w:t>e sélection</w:t>
      </w:r>
      <w:bookmarkEnd w:id="16"/>
      <w:r w:rsidR="0007790D">
        <w:t xml:space="preserve"> et d’attribution</w:t>
      </w:r>
      <w:bookmarkEnd w:id="17"/>
    </w:p>
    <w:p w14:paraId="4AD2F182" w14:textId="6BFEF2AA" w:rsidR="002429F6" w:rsidRPr="002429F6" w:rsidRDefault="001C47E9" w:rsidP="001C47E9">
      <w:pPr>
        <w:jc w:val="both"/>
      </w:pPr>
      <w:r>
        <w:t>Tant les critères de sélection des candidatures que les critères d’attribution du marché doivent être suffisamment ouverts pour permettre une participation effective des TPE/PME</w:t>
      </w:r>
      <w:r w:rsidR="008D3574">
        <w:t>.</w:t>
      </w:r>
      <w:r>
        <w:t xml:space="preserve"> </w:t>
      </w:r>
    </w:p>
    <w:p w14:paraId="2213DCC9" w14:textId="0787C7EF" w:rsidR="002429F6" w:rsidRDefault="002429F6" w:rsidP="00AF67E3">
      <w:pPr>
        <w:pStyle w:val="Titre2"/>
        <w:tabs>
          <w:tab w:val="left" w:pos="3822"/>
        </w:tabs>
        <w:spacing w:after="240"/>
        <w:rPr>
          <w:rFonts w:eastAsia="Times New Roman"/>
        </w:rPr>
      </w:pPr>
      <w:bookmarkStart w:id="18" w:name="_Toc7425928"/>
      <w:r>
        <w:rPr>
          <w:rFonts w:eastAsia="Times New Roman"/>
        </w:rPr>
        <w:t>L’examen des candidatures</w:t>
      </w:r>
      <w:bookmarkEnd w:id="18"/>
    </w:p>
    <w:p w14:paraId="15F16FAC" w14:textId="5C65D5AA" w:rsidR="00B969A1" w:rsidRDefault="0007790D" w:rsidP="0007790D">
      <w:pPr>
        <w:tabs>
          <w:tab w:val="left" w:pos="567"/>
        </w:tabs>
        <w:spacing w:before="240" w:after="120"/>
        <w:ind w:left="851" w:right="227" w:hanging="624"/>
        <w:jc w:val="both"/>
        <w:rPr>
          <w:rFonts w:eastAsia="Times New Roman"/>
        </w:rPr>
      </w:pPr>
      <w:r w:rsidRPr="00B969A1">
        <w:rPr>
          <w:noProof/>
          <w:szCs w:val="23"/>
          <w:lang w:eastAsia="fr-FR"/>
        </w:rPr>
        <w:drawing>
          <wp:anchor distT="0" distB="0" distL="114300" distR="114300" simplePos="0" relativeHeight="251786240" behindDoc="0" locked="0" layoutInCell="1" allowOverlap="1" wp14:anchorId="2F80F08E" wp14:editId="7A1E0642">
            <wp:simplePos x="0" y="0"/>
            <wp:positionH relativeFrom="margin">
              <wp:align>left</wp:align>
            </wp:positionH>
            <wp:positionV relativeFrom="paragraph">
              <wp:posOffset>5080</wp:posOffset>
            </wp:positionV>
            <wp:extent cx="375285" cy="375285"/>
            <wp:effectExtent l="0" t="0" r="5715" b="5715"/>
            <wp:wrapSquare wrapText="bothSides"/>
            <wp:docPr id="43" name="Image 43" descr="K:\1ESD\1C\COMMUN1C\06. OECP\3 - GT OECP\GT_acces-TPE-PME\Projet de guide\Icônes\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1ESD\1C\COMMUN1C\06. OECP\3 - GT OECP\GT_acces-TPE-PME\Projet de guide\Icônes\book.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flipH="1">
                      <a:off x="0" y="0"/>
                      <a:ext cx="375285" cy="3752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imes New Roman"/>
        </w:rPr>
        <w:t xml:space="preserve">  </w:t>
      </w:r>
      <w:r w:rsidR="00B969A1">
        <w:rPr>
          <w:rFonts w:eastAsia="Times New Roman"/>
        </w:rPr>
        <w:t>L’article L.</w:t>
      </w:r>
      <w:r w:rsidR="00B969A1" w:rsidRPr="00B969A1">
        <w:rPr>
          <w:rFonts w:eastAsia="Times New Roman"/>
        </w:rPr>
        <w:t>2142-1</w:t>
      </w:r>
      <w:r w:rsidR="00B969A1">
        <w:rPr>
          <w:rFonts w:eastAsia="Times New Roman"/>
        </w:rPr>
        <w:t xml:space="preserve"> du CCP dispose que « l</w:t>
      </w:r>
      <w:r w:rsidR="00B969A1" w:rsidRPr="00B969A1">
        <w:rPr>
          <w:rFonts w:eastAsia="Times New Roman"/>
          <w:i/>
        </w:rPr>
        <w:t>’acheteur ne peut imposer aux candidats des conditions de participation à la procédure de passation autres que celles propres à garantir qu’ils disposent de l’aptitude à exercer l’activité professionnelle, de la capacité économique et financière ou des capacités techniques et professionnelles nécessaires à l’exécution du marché</w:t>
      </w:r>
      <w:r w:rsidR="00B969A1">
        <w:rPr>
          <w:rFonts w:eastAsia="Times New Roman"/>
        </w:rPr>
        <w:t> »</w:t>
      </w:r>
      <w:r w:rsidR="00B969A1" w:rsidRPr="00B969A1">
        <w:rPr>
          <w:rFonts w:eastAsia="Times New Roman"/>
        </w:rPr>
        <w:t>.</w:t>
      </w:r>
    </w:p>
    <w:p w14:paraId="411DEC41" w14:textId="77777777" w:rsidR="008B6C3D" w:rsidRDefault="00982C10" w:rsidP="005E2766">
      <w:pPr>
        <w:spacing w:after="120"/>
        <w:jc w:val="both"/>
        <w:rPr>
          <w:rFonts w:eastAsia="Times New Roman"/>
        </w:rPr>
      </w:pPr>
      <w:r>
        <w:rPr>
          <w:rFonts w:eastAsia="Times New Roman"/>
        </w:rPr>
        <w:t>L</w:t>
      </w:r>
      <w:r w:rsidR="005069E4" w:rsidRPr="005069E4">
        <w:rPr>
          <w:rFonts w:eastAsia="Times New Roman"/>
        </w:rPr>
        <w:t>a phase d’examen des candidatures déposées par les opérateurs économiques se déroule</w:t>
      </w:r>
      <w:r w:rsidR="00ED00DB">
        <w:rPr>
          <w:rFonts w:eastAsia="Times New Roman"/>
        </w:rPr>
        <w:t xml:space="preserve"> généralement </w:t>
      </w:r>
      <w:r w:rsidR="005069E4" w:rsidRPr="005069E4">
        <w:rPr>
          <w:rFonts w:eastAsia="Times New Roman"/>
        </w:rPr>
        <w:t xml:space="preserve">avant la phase d’examen des offres. </w:t>
      </w:r>
      <w:r>
        <w:rPr>
          <w:rFonts w:eastAsia="Times New Roman"/>
        </w:rPr>
        <w:t>T</w:t>
      </w:r>
      <w:r w:rsidRPr="005069E4">
        <w:rPr>
          <w:rFonts w:eastAsia="Times New Roman"/>
        </w:rPr>
        <w:t>outefois</w:t>
      </w:r>
      <w:r>
        <w:rPr>
          <w:rFonts w:eastAsia="Times New Roman"/>
        </w:rPr>
        <w:t>, i</w:t>
      </w:r>
      <w:r w:rsidR="005069E4" w:rsidRPr="005069E4">
        <w:rPr>
          <w:rFonts w:eastAsia="Times New Roman"/>
        </w:rPr>
        <w:t>l est possible d’</w:t>
      </w:r>
      <w:r w:rsidR="005069E4" w:rsidRPr="005069E4">
        <w:rPr>
          <w:rFonts w:eastAsia="Times New Roman"/>
          <w:b/>
        </w:rPr>
        <w:t>inverser l’ordre d’examen</w:t>
      </w:r>
      <w:r>
        <w:rPr>
          <w:rFonts w:eastAsia="Times New Roman"/>
          <w:b/>
        </w:rPr>
        <w:t xml:space="preserve"> en appel d’offres ouvert</w:t>
      </w:r>
      <w:r>
        <w:rPr>
          <w:rStyle w:val="Appelnotedebasdep"/>
          <w:rFonts w:eastAsia="Times New Roman"/>
          <w:b/>
        </w:rPr>
        <w:footnoteReference w:id="14"/>
      </w:r>
      <w:r w:rsidR="005069E4" w:rsidRPr="005069E4">
        <w:rPr>
          <w:rFonts w:eastAsia="Times New Roman"/>
        </w:rPr>
        <w:t xml:space="preserve">, ce qui allège les charges pesant sur les entreprises et les acheteurs (les vérifications n’étant opérées qu’à </w:t>
      </w:r>
      <w:r w:rsidR="005069E4">
        <w:rPr>
          <w:rFonts w:eastAsia="Times New Roman"/>
        </w:rPr>
        <w:t>l’égard du titulaire pressenti)</w:t>
      </w:r>
      <w:r w:rsidR="005069E4" w:rsidRPr="005069E4">
        <w:rPr>
          <w:rFonts w:eastAsia="Times New Roman"/>
        </w:rPr>
        <w:t xml:space="preserve">. </w:t>
      </w:r>
    </w:p>
    <w:p w14:paraId="3A9A7080" w14:textId="3806B0BC" w:rsidR="00655161" w:rsidRPr="005069E4" w:rsidRDefault="005E2766" w:rsidP="005E2766">
      <w:pPr>
        <w:spacing w:after="120"/>
        <w:jc w:val="both"/>
        <w:rPr>
          <w:rFonts w:eastAsia="Times New Roman"/>
        </w:rPr>
      </w:pPr>
      <w:r w:rsidRPr="005E2766">
        <w:rPr>
          <w:rFonts w:eastAsia="Times New Roman"/>
        </w:rPr>
        <w:t xml:space="preserve">Cette possibilité </w:t>
      </w:r>
      <w:r w:rsidR="00816CAF" w:rsidRPr="005E2766">
        <w:rPr>
          <w:rFonts w:eastAsia="Times New Roman"/>
        </w:rPr>
        <w:t>est ainsi mise en œuvre par</w:t>
      </w:r>
      <w:r w:rsidRPr="005E2766">
        <w:rPr>
          <w:rFonts w:eastAsia="Times New Roman"/>
        </w:rPr>
        <w:t xml:space="preserve"> la chambre de commerce et d’industrie Paris Ile-de-France, qui constate son intérêt de pour les procédures avec un nombre élevé de candidats (supérieur à 5).</w:t>
      </w:r>
      <w:r w:rsidR="00655161">
        <w:rPr>
          <w:rFonts w:eastAsia="Times New Roman"/>
        </w:rPr>
        <w:t xml:space="preserve"> </w:t>
      </w:r>
      <w:r w:rsidR="008B6C3D" w:rsidRPr="008B6C3D">
        <w:rPr>
          <w:rFonts w:eastAsia="Times New Roman"/>
        </w:rPr>
        <w:t>Elle comporte toutefois le risque de retenir un soumissionnaire auquel il s’avérera impossible de notifier le contrat (critères de candidature non respectés), et ob</w:t>
      </w:r>
      <w:r w:rsidR="008B6C3D">
        <w:rPr>
          <w:rFonts w:eastAsia="Times New Roman"/>
        </w:rPr>
        <w:t>ligera à reprendre la procédure pour attribuer</w:t>
      </w:r>
      <w:r w:rsidR="00D23A99">
        <w:rPr>
          <w:rFonts w:eastAsia="Times New Roman"/>
        </w:rPr>
        <w:t xml:space="preserve"> le marché</w:t>
      </w:r>
      <w:r w:rsidR="008B6C3D">
        <w:rPr>
          <w:rFonts w:eastAsia="Times New Roman"/>
        </w:rPr>
        <w:t xml:space="preserve"> au deuxième candidat du classement.</w:t>
      </w:r>
    </w:p>
    <w:p w14:paraId="62E168F7" w14:textId="77777777" w:rsidR="005069E4" w:rsidRPr="005069E4" w:rsidRDefault="005069E4" w:rsidP="005069E4">
      <w:pPr>
        <w:spacing w:after="40"/>
        <w:jc w:val="both"/>
        <w:rPr>
          <w:rFonts w:eastAsia="Times New Roman"/>
        </w:rPr>
      </w:pPr>
      <w:r w:rsidRPr="005069E4">
        <w:rPr>
          <w:rFonts w:eastAsia="Times New Roman"/>
        </w:rPr>
        <w:t>Quel que soit la procédure retenue (ouverte ou restreinte) et l’ordre d’examen, l’acheteur doit contrôler :</w:t>
      </w:r>
    </w:p>
    <w:p w14:paraId="54F9FD9A" w14:textId="52642F1E" w:rsidR="005069E4" w:rsidRDefault="005069E4" w:rsidP="005069E4">
      <w:pPr>
        <w:pStyle w:val="Paragraphedeliste"/>
        <w:numPr>
          <w:ilvl w:val="0"/>
          <w:numId w:val="22"/>
        </w:numPr>
        <w:spacing w:before="60" w:after="120"/>
        <w:ind w:left="760" w:hanging="357"/>
        <w:jc w:val="both"/>
        <w:rPr>
          <w:rFonts w:eastAsia="Times New Roman"/>
        </w:rPr>
      </w:pPr>
      <w:r w:rsidRPr="005069E4">
        <w:rPr>
          <w:rFonts w:eastAsia="Times New Roman"/>
        </w:rPr>
        <w:t>que les candidatures ont été reçues dans les délais prescrits, toute candidature reçue hors délai étant éliminée</w:t>
      </w:r>
      <w:r w:rsidR="004B153C">
        <w:rPr>
          <w:rStyle w:val="Appelnotedebasdep"/>
          <w:rFonts w:eastAsia="Times New Roman"/>
        </w:rPr>
        <w:footnoteReference w:id="15"/>
      </w:r>
      <w:r w:rsidRPr="005069E4">
        <w:rPr>
          <w:rFonts w:eastAsia="Times New Roman"/>
        </w:rPr>
        <w:t xml:space="preserve"> ;</w:t>
      </w:r>
    </w:p>
    <w:p w14:paraId="2C0F77D5" w14:textId="77777777" w:rsidR="005069E4" w:rsidRDefault="005069E4" w:rsidP="005069E4">
      <w:pPr>
        <w:pStyle w:val="Paragraphedeliste"/>
        <w:numPr>
          <w:ilvl w:val="0"/>
          <w:numId w:val="22"/>
        </w:numPr>
        <w:spacing w:after="120"/>
        <w:jc w:val="both"/>
        <w:rPr>
          <w:rFonts w:eastAsia="Times New Roman"/>
        </w:rPr>
      </w:pPr>
      <w:r w:rsidRPr="005069E4">
        <w:rPr>
          <w:rFonts w:eastAsia="Times New Roman"/>
        </w:rPr>
        <w:t>que les candidats satisfont aux conditions de participation indiquées dans l’avis d’appel à la concurrence ou dans les documents de la consultation ;</w:t>
      </w:r>
    </w:p>
    <w:p w14:paraId="3CA24334" w14:textId="6874E132" w:rsidR="005069E4" w:rsidRPr="005069E4" w:rsidRDefault="005069E4" w:rsidP="005069E4">
      <w:pPr>
        <w:pStyle w:val="Paragraphedeliste"/>
        <w:numPr>
          <w:ilvl w:val="0"/>
          <w:numId w:val="22"/>
        </w:numPr>
        <w:spacing w:after="120"/>
        <w:jc w:val="both"/>
        <w:rPr>
          <w:rFonts w:eastAsia="Times New Roman"/>
        </w:rPr>
      </w:pPr>
      <w:r w:rsidRPr="005069E4">
        <w:rPr>
          <w:rFonts w:eastAsia="Times New Roman"/>
        </w:rPr>
        <w:t>que les candidats ne font pas l’objet d’une interdiction de soumissionner.</w:t>
      </w:r>
    </w:p>
    <w:p w14:paraId="37F8F177" w14:textId="216CF07F" w:rsidR="005069E4" w:rsidRPr="005069E4" w:rsidRDefault="005069E4" w:rsidP="004D2306">
      <w:pPr>
        <w:pStyle w:val="Encart"/>
        <w:spacing w:line="276" w:lineRule="auto"/>
      </w:pPr>
      <w:r w:rsidRPr="005069E4">
        <w:t>Afin de fa</w:t>
      </w:r>
      <w:r>
        <w:t>ciliter</w:t>
      </w:r>
      <w:r w:rsidRPr="005069E4">
        <w:t xml:space="preserve"> l’accès à la commande publique, en particulier pour les nouvelles </w:t>
      </w:r>
      <w:r w:rsidR="00CD2FF5">
        <w:t xml:space="preserve">entreprises </w:t>
      </w:r>
      <w:r w:rsidRPr="005069E4">
        <w:t xml:space="preserve">qui ne possèdent pas de références, les </w:t>
      </w:r>
      <w:r w:rsidRPr="004D2306">
        <w:rPr>
          <w:b/>
        </w:rPr>
        <w:t>critères de sélection</w:t>
      </w:r>
      <w:r w:rsidRPr="005069E4">
        <w:t xml:space="preserve"> doivent être </w:t>
      </w:r>
      <w:r w:rsidRPr="004D2306">
        <w:rPr>
          <w:b/>
        </w:rPr>
        <w:t>proportionnés à l’objet du marché</w:t>
      </w:r>
      <w:r w:rsidRPr="00343271">
        <w:t xml:space="preserve"> ou à ses conditions d'exécution.</w:t>
      </w:r>
    </w:p>
    <w:p w14:paraId="0E0196AE" w14:textId="793A8AB7" w:rsidR="005069E4" w:rsidRDefault="004D2306" w:rsidP="005069E4">
      <w:pPr>
        <w:spacing w:after="120"/>
        <w:jc w:val="both"/>
        <w:rPr>
          <w:rFonts w:eastAsia="Times New Roman"/>
        </w:rPr>
      </w:pPr>
      <w:r w:rsidRPr="006C7A88">
        <w:rPr>
          <w:noProof/>
          <w:lang w:eastAsia="fr-FR"/>
        </w:rPr>
        <w:drawing>
          <wp:anchor distT="0" distB="0" distL="114300" distR="114300" simplePos="0" relativeHeight="251787264" behindDoc="0" locked="0" layoutInCell="1" allowOverlap="1" wp14:anchorId="3EC4D04E" wp14:editId="38578D00">
            <wp:simplePos x="0" y="0"/>
            <wp:positionH relativeFrom="column">
              <wp:posOffset>5331934</wp:posOffset>
            </wp:positionH>
            <wp:positionV relativeFrom="paragraph">
              <wp:posOffset>4577</wp:posOffset>
            </wp:positionV>
            <wp:extent cx="515620" cy="515620"/>
            <wp:effectExtent l="0" t="0" r="0" b="0"/>
            <wp:wrapThrough wrapText="bothSides">
              <wp:wrapPolygon edited="0">
                <wp:start x="1596" y="0"/>
                <wp:lineTo x="0" y="2394"/>
                <wp:lineTo x="0" y="7182"/>
                <wp:lineTo x="5586" y="12768"/>
                <wp:lineTo x="5586" y="15961"/>
                <wp:lineTo x="6384" y="20749"/>
                <wp:lineTo x="7182" y="20749"/>
                <wp:lineTo x="13567" y="20749"/>
                <wp:lineTo x="14365" y="20749"/>
                <wp:lineTo x="15961" y="14365"/>
                <wp:lineTo x="15163" y="12768"/>
                <wp:lineTo x="20749" y="7182"/>
                <wp:lineTo x="20749" y="2394"/>
                <wp:lineTo x="13567" y="0"/>
                <wp:lineTo x="1596" y="0"/>
              </wp:wrapPolygon>
            </wp:wrapThrough>
            <wp:docPr id="44" name="Image 44" descr="K:\1ESD\1C\COMMUN1C\06. OECP\3 - GT OECP\GT_acces-TPE-PME\Projet de guide\Icônes\stren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1ESD\1C\COMMUN1C\06. OECP\3 - GT OECP\GT_acces-TPE-PME\Projet de guide\Icônes\strenght.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5620" cy="515620"/>
                    </a:xfrm>
                    <a:prstGeom prst="rect">
                      <a:avLst/>
                    </a:prstGeom>
                    <a:noFill/>
                    <a:ln>
                      <a:noFill/>
                    </a:ln>
                  </pic:spPr>
                </pic:pic>
              </a:graphicData>
            </a:graphic>
            <wp14:sizeRelH relativeFrom="page">
              <wp14:pctWidth>0</wp14:pctWidth>
            </wp14:sizeRelH>
            <wp14:sizeRelV relativeFrom="page">
              <wp14:pctHeight>0</wp14:pctHeight>
            </wp14:sizeRelV>
          </wp:anchor>
        </w:drawing>
      </w:r>
      <w:r w:rsidR="005069E4" w:rsidRPr="005069E4">
        <w:rPr>
          <w:rFonts w:eastAsia="Times New Roman"/>
        </w:rPr>
        <w:t>Les capacités économiques et financières</w:t>
      </w:r>
      <w:r>
        <w:rPr>
          <w:rFonts w:eastAsia="Times New Roman"/>
        </w:rPr>
        <w:t>, de même que</w:t>
      </w:r>
      <w:r w:rsidR="005069E4" w:rsidRPr="005069E4">
        <w:rPr>
          <w:rFonts w:eastAsia="Times New Roman"/>
        </w:rPr>
        <w:t xml:space="preserve"> les capacités techniques et professionnelles</w:t>
      </w:r>
      <w:r>
        <w:rPr>
          <w:rFonts w:eastAsia="Times New Roman"/>
        </w:rPr>
        <w:t>,</w:t>
      </w:r>
      <w:r w:rsidR="005069E4" w:rsidRPr="005069E4">
        <w:rPr>
          <w:rFonts w:eastAsia="Times New Roman"/>
        </w:rPr>
        <w:t xml:space="preserve"> sont appréciées tant sur le plan quantitatif que qualitatif. Une fois utilisés au stade des candidatures, ces critères de sélection ne peuvent plus être utilisés au stade de la remise des offres. </w:t>
      </w:r>
    </w:p>
    <w:p w14:paraId="6DFE5279" w14:textId="5D045A20" w:rsidR="005069E4" w:rsidRPr="005069E4" w:rsidRDefault="005069E4" w:rsidP="005069E4">
      <w:pPr>
        <w:pStyle w:val="Paragraphedeliste"/>
        <w:numPr>
          <w:ilvl w:val="0"/>
          <w:numId w:val="23"/>
        </w:numPr>
        <w:spacing w:after="120"/>
        <w:ind w:left="284" w:hanging="284"/>
        <w:jc w:val="both"/>
        <w:rPr>
          <w:rFonts w:eastAsia="Times New Roman"/>
        </w:rPr>
      </w:pPr>
      <w:r w:rsidRPr="005069E4">
        <w:rPr>
          <w:rFonts w:eastAsia="Times New Roman"/>
          <w:u w:val="single"/>
        </w:rPr>
        <w:t>Capacité économique et financière</w:t>
      </w:r>
      <w:r w:rsidRPr="005069E4">
        <w:rPr>
          <w:rFonts w:eastAsia="Times New Roman"/>
        </w:rPr>
        <w:t xml:space="preserve"> : </w:t>
      </w:r>
    </w:p>
    <w:p w14:paraId="16BF440F" w14:textId="31F5B09A" w:rsidR="005069E4" w:rsidRDefault="005069E4" w:rsidP="005069E4">
      <w:pPr>
        <w:pStyle w:val="Paragraphedeliste"/>
        <w:numPr>
          <w:ilvl w:val="0"/>
          <w:numId w:val="24"/>
        </w:numPr>
        <w:spacing w:after="120"/>
        <w:jc w:val="both"/>
        <w:rPr>
          <w:rFonts w:eastAsia="Times New Roman"/>
        </w:rPr>
      </w:pPr>
      <w:r w:rsidRPr="005069E4">
        <w:rPr>
          <w:rFonts w:eastAsia="Times New Roman"/>
        </w:rPr>
        <w:t xml:space="preserve">le </w:t>
      </w:r>
      <w:r w:rsidRPr="00343271">
        <w:rPr>
          <w:rFonts w:eastAsia="Times New Roman"/>
          <w:b/>
        </w:rPr>
        <w:t>chiffre d’affaires</w:t>
      </w:r>
      <w:r w:rsidRPr="005069E4">
        <w:rPr>
          <w:rFonts w:eastAsia="Times New Roman"/>
        </w:rPr>
        <w:t xml:space="preserve"> exigible des candidats est </w:t>
      </w:r>
      <w:r w:rsidRPr="00343271">
        <w:rPr>
          <w:rFonts w:eastAsia="Times New Roman"/>
          <w:b/>
        </w:rPr>
        <w:t>limité à deux fois le montant estimé</w:t>
      </w:r>
      <w:r w:rsidRPr="005069E4">
        <w:rPr>
          <w:rFonts w:eastAsia="Times New Roman"/>
        </w:rPr>
        <w:t xml:space="preserve"> du marché ou du lot (sa</w:t>
      </w:r>
      <w:r>
        <w:rPr>
          <w:rFonts w:eastAsia="Times New Roman"/>
        </w:rPr>
        <w:t xml:space="preserve">uf exception dûment justifiée) </w:t>
      </w:r>
      <w:r w:rsidRPr="005069E4">
        <w:rPr>
          <w:rFonts w:eastAsia="Times New Roman"/>
        </w:rPr>
        <w:t>;</w:t>
      </w:r>
    </w:p>
    <w:p w14:paraId="5D1A8717" w14:textId="30359130" w:rsidR="005069E4" w:rsidRPr="005069E4" w:rsidRDefault="00482B33" w:rsidP="008E69CA">
      <w:pPr>
        <w:pStyle w:val="Paragraphedeliste"/>
        <w:numPr>
          <w:ilvl w:val="0"/>
          <w:numId w:val="24"/>
        </w:numPr>
        <w:spacing w:after="60"/>
        <w:ind w:left="714" w:hanging="357"/>
        <w:contextualSpacing w:val="0"/>
        <w:jc w:val="both"/>
        <w:rPr>
          <w:rFonts w:eastAsia="Times New Roman"/>
        </w:rPr>
      </w:pPr>
      <w:r>
        <w:rPr>
          <w:rFonts w:eastAsia="Times New Roman"/>
        </w:rPr>
        <w:t xml:space="preserve">tout soumissionnaire </w:t>
      </w:r>
      <w:r w:rsidR="005069E4" w:rsidRPr="005069E4">
        <w:rPr>
          <w:rFonts w:eastAsia="Times New Roman"/>
        </w:rPr>
        <w:t xml:space="preserve">peut demander que soient prises en compte les </w:t>
      </w:r>
      <w:r w:rsidR="005069E4" w:rsidRPr="00343271">
        <w:rPr>
          <w:rFonts w:eastAsia="Times New Roman"/>
          <w:b/>
        </w:rPr>
        <w:t xml:space="preserve">capacités </w:t>
      </w:r>
      <w:r w:rsidR="009C0B97" w:rsidRPr="00343271">
        <w:rPr>
          <w:rFonts w:eastAsia="Times New Roman"/>
          <w:b/>
        </w:rPr>
        <w:t xml:space="preserve">financières </w:t>
      </w:r>
      <w:r w:rsidR="005069E4" w:rsidRPr="00343271">
        <w:rPr>
          <w:rFonts w:eastAsia="Times New Roman"/>
          <w:b/>
        </w:rPr>
        <w:t xml:space="preserve">d’autres opérateurs </w:t>
      </w:r>
      <w:r w:rsidR="005069E4" w:rsidRPr="005069E4">
        <w:rPr>
          <w:rFonts w:eastAsia="Times New Roman"/>
        </w:rPr>
        <w:t>(ex : cotraitant, sous-traitant…), dès lors qu’elle peut apporter la preuve qu’elle en dispo</w:t>
      </w:r>
      <w:r w:rsidR="005069E4">
        <w:rPr>
          <w:rFonts w:eastAsia="Times New Roman"/>
        </w:rPr>
        <w:t>sera pour l’exécution du marché</w:t>
      </w:r>
      <w:r w:rsidR="005069E4" w:rsidRPr="005069E4">
        <w:rPr>
          <w:rFonts w:eastAsia="Times New Roman"/>
        </w:rPr>
        <w:t>. L’acheteur peut néanmoins exiger un lien de solidarité entre les deux entreprises.</w:t>
      </w:r>
    </w:p>
    <w:p w14:paraId="49D71952" w14:textId="77777777" w:rsidR="00B969A1" w:rsidRDefault="005069E4" w:rsidP="00D63E45">
      <w:pPr>
        <w:pStyle w:val="Paragraphedeliste"/>
        <w:numPr>
          <w:ilvl w:val="0"/>
          <w:numId w:val="23"/>
        </w:numPr>
        <w:tabs>
          <w:tab w:val="left" w:pos="284"/>
        </w:tabs>
        <w:spacing w:after="0"/>
        <w:ind w:left="0" w:firstLine="0"/>
        <w:contextualSpacing w:val="0"/>
        <w:jc w:val="both"/>
        <w:rPr>
          <w:rFonts w:eastAsia="Times New Roman"/>
        </w:rPr>
      </w:pPr>
      <w:r w:rsidRPr="005069E4">
        <w:rPr>
          <w:rFonts w:eastAsia="Times New Roman"/>
          <w:u w:val="single"/>
        </w:rPr>
        <w:t>Capacité techniques et professionnelles</w:t>
      </w:r>
      <w:r w:rsidRPr="005069E4">
        <w:rPr>
          <w:rFonts w:eastAsia="Times New Roman"/>
        </w:rPr>
        <w:t xml:space="preserve"> : </w:t>
      </w:r>
    </w:p>
    <w:p w14:paraId="4667FFAE" w14:textId="51D9870E" w:rsidR="00B969A1" w:rsidRPr="00B969A1" w:rsidRDefault="00B969A1" w:rsidP="00D63E45">
      <w:pPr>
        <w:pStyle w:val="Paragraphedeliste"/>
        <w:numPr>
          <w:ilvl w:val="1"/>
          <w:numId w:val="23"/>
        </w:numPr>
        <w:spacing w:after="120"/>
        <w:ind w:left="709" w:hanging="283"/>
        <w:jc w:val="both"/>
        <w:rPr>
          <w:rFonts w:eastAsia="Times New Roman"/>
        </w:rPr>
      </w:pPr>
      <w:r>
        <w:rPr>
          <w:rFonts w:eastAsia="Times New Roman"/>
        </w:rPr>
        <w:t>l</w:t>
      </w:r>
      <w:r w:rsidRPr="00B969A1">
        <w:rPr>
          <w:rFonts w:eastAsia="Times New Roman"/>
        </w:rPr>
        <w:t>’absence de références relatives à l’exécution de marchés de même nature ne peut justifier à elle se</w:t>
      </w:r>
      <w:r>
        <w:rPr>
          <w:rFonts w:eastAsia="Times New Roman"/>
        </w:rPr>
        <w:t>ule l’élimination d’un candidat ;</w:t>
      </w:r>
    </w:p>
    <w:p w14:paraId="4DF274D6" w14:textId="6ED522CC" w:rsidR="00DC1DBB" w:rsidRDefault="005069E4" w:rsidP="00DC1DBB">
      <w:pPr>
        <w:pStyle w:val="Paragraphedeliste"/>
        <w:numPr>
          <w:ilvl w:val="1"/>
          <w:numId w:val="23"/>
        </w:numPr>
        <w:spacing w:after="60"/>
        <w:ind w:left="709" w:hanging="283"/>
        <w:contextualSpacing w:val="0"/>
        <w:jc w:val="both"/>
        <w:rPr>
          <w:rFonts w:eastAsia="Times New Roman"/>
        </w:rPr>
      </w:pPr>
      <w:r w:rsidRPr="005069E4">
        <w:rPr>
          <w:rFonts w:eastAsia="Times New Roman"/>
        </w:rPr>
        <w:lastRenderedPageBreak/>
        <w:t xml:space="preserve">le pouvoir adjudicateur peut, par exemple, exiger des </w:t>
      </w:r>
      <w:r w:rsidRPr="008E69CA">
        <w:rPr>
          <w:rFonts w:eastAsia="Times New Roman"/>
          <w:b/>
        </w:rPr>
        <w:t>niveaux moyens de capacité</w:t>
      </w:r>
      <w:r w:rsidRPr="005069E4">
        <w:rPr>
          <w:rFonts w:eastAsia="Times New Roman"/>
        </w:rPr>
        <w:t>, des effectifs lui paraissant suffisants, un niveau moyen d'études et de qualifications professionnelles. Le fait de ne pas disposer au moment de la consultation des machines et des outils indispensables à l'exécution du marché ne signifie pas que le matériel nécessaire ne sera pas acquis ou loué si le mar</w:t>
      </w:r>
      <w:r w:rsidR="00DC1DBB">
        <w:rPr>
          <w:rFonts w:eastAsia="Times New Roman"/>
        </w:rPr>
        <w:t>ch</w:t>
      </w:r>
      <w:r w:rsidR="004D2306">
        <w:rPr>
          <w:rFonts w:eastAsia="Times New Roman"/>
        </w:rPr>
        <w:t>é est attribué à l’entreprise.</w:t>
      </w:r>
      <w:r w:rsidR="00E44752" w:rsidRPr="00E44752">
        <w:rPr>
          <w:rFonts w:eastAsia="Times New Roman"/>
        </w:rPr>
        <w:t xml:space="preserve"> </w:t>
      </w:r>
      <w:r w:rsidR="00E44752">
        <w:rPr>
          <w:rFonts w:eastAsia="Times New Roman"/>
        </w:rPr>
        <w:t>Toutefois, il appartient au candidat de démontrer comment il sera en mesure de s’en doter</w:t>
      </w:r>
      <w:r w:rsidR="00E44752">
        <w:rPr>
          <w:rFonts w:eastAsia="Times New Roman"/>
        </w:rPr>
        <w:t xml:space="preserve"> le moment venu.</w:t>
      </w:r>
    </w:p>
    <w:p w14:paraId="0BF89A3A" w14:textId="280F0F34" w:rsidR="008C1376" w:rsidRPr="004D2306" w:rsidRDefault="004D2306" w:rsidP="004D2306">
      <w:pPr>
        <w:spacing w:before="60" w:after="120"/>
        <w:jc w:val="both"/>
        <w:rPr>
          <w:rFonts w:eastAsia="Times New Roman"/>
        </w:rPr>
      </w:pPr>
      <w:r>
        <w:rPr>
          <w:rFonts w:eastAsia="Times New Roman"/>
        </w:rPr>
        <w:t>I</w:t>
      </w:r>
      <w:r w:rsidR="006B4AE4" w:rsidRPr="004D2306">
        <w:rPr>
          <w:rFonts w:eastAsia="Times New Roman"/>
        </w:rPr>
        <w:t xml:space="preserve">l est recommandé de solliciter des </w:t>
      </w:r>
      <w:r w:rsidR="006B4AE4" w:rsidRPr="004D2306">
        <w:rPr>
          <w:rFonts w:eastAsia="Times New Roman"/>
          <w:b/>
        </w:rPr>
        <w:t>niveaux de qualification</w:t>
      </w:r>
      <w:r w:rsidR="006B4AE4" w:rsidRPr="004D2306">
        <w:rPr>
          <w:rFonts w:eastAsia="Times New Roman"/>
        </w:rPr>
        <w:t xml:space="preserve"> au stade des candidatures, plutôt que des CV (dès lors qu’une relation </w:t>
      </w:r>
      <w:r w:rsidR="006B4AE4" w:rsidRPr="004D2306">
        <w:rPr>
          <w:rFonts w:eastAsia="Times New Roman"/>
          <w:i/>
        </w:rPr>
        <w:t>intuitu personae</w:t>
      </w:r>
      <w:r w:rsidR="006B4AE4" w:rsidRPr="004D2306">
        <w:rPr>
          <w:rFonts w:eastAsia="Times New Roman"/>
        </w:rPr>
        <w:t xml:space="preserve"> n’est pas fondamentale à l’exécution des prestations). En effet, sans assurance d’obtenir le march</w:t>
      </w:r>
      <w:r w:rsidR="006A3029">
        <w:rPr>
          <w:rFonts w:eastAsia="Times New Roman"/>
        </w:rPr>
        <w:t>é</w:t>
      </w:r>
      <w:r w:rsidR="006B4AE4" w:rsidRPr="004D2306">
        <w:rPr>
          <w:rFonts w:eastAsia="Times New Roman"/>
        </w:rPr>
        <w:t xml:space="preserve">, les candidats ne peuvent garantir </w:t>
      </w:r>
      <w:r w:rsidR="00B969A1" w:rsidRPr="004D2306">
        <w:rPr>
          <w:rFonts w:eastAsia="Times New Roman"/>
        </w:rPr>
        <w:t>que des personnels nommément désignés seront disponible</w:t>
      </w:r>
      <w:r w:rsidR="00701B8A">
        <w:rPr>
          <w:rFonts w:eastAsia="Times New Roman"/>
        </w:rPr>
        <w:t>s</w:t>
      </w:r>
      <w:r w:rsidR="00B969A1" w:rsidRPr="004D2306">
        <w:rPr>
          <w:rFonts w:eastAsia="Times New Roman"/>
        </w:rPr>
        <w:t xml:space="preserve"> à la date d’exécution des prestations, souvent des mois après la consultation. </w:t>
      </w:r>
    </w:p>
    <w:p w14:paraId="03CC31C7" w14:textId="30A5F36B" w:rsidR="008C1376" w:rsidRDefault="004D2306" w:rsidP="005E2766">
      <w:pPr>
        <w:pStyle w:val="Paragraphedeliste"/>
        <w:tabs>
          <w:tab w:val="left" w:pos="284"/>
        </w:tabs>
        <w:spacing w:after="120"/>
        <w:ind w:left="0"/>
        <w:contextualSpacing w:val="0"/>
        <w:jc w:val="both"/>
        <w:rPr>
          <w:rFonts w:eastAsia="Times New Roman"/>
        </w:rPr>
      </w:pPr>
      <w:r w:rsidRPr="004D2306">
        <w:rPr>
          <w:rStyle w:val="Lienhypertexte"/>
          <w:rFonts w:eastAsia="Times New Roman"/>
          <w:color w:val="000000" w:themeColor="text1"/>
          <w:u w:val="none"/>
        </w:rPr>
        <w:t xml:space="preserve">En synthèse, </w:t>
      </w:r>
      <w:hyperlink r:id="rId38" w:history="1">
        <w:r>
          <w:rPr>
            <w:rStyle w:val="Lienhypertexte"/>
            <w:rFonts w:eastAsia="Times New Roman"/>
          </w:rPr>
          <w:t>l</w:t>
        </w:r>
        <w:r w:rsidR="008C1376" w:rsidRPr="008C1376">
          <w:rPr>
            <w:rStyle w:val="Lienhypertexte"/>
            <w:rFonts w:eastAsia="Times New Roman"/>
          </w:rPr>
          <w:t>’arrêté du 29 mars 2016</w:t>
        </w:r>
      </w:hyperlink>
      <w:r w:rsidR="008C1376" w:rsidRPr="008C1376">
        <w:rPr>
          <w:rFonts w:eastAsia="Times New Roman"/>
        </w:rPr>
        <w:t xml:space="preserve"> fix</w:t>
      </w:r>
      <w:r w:rsidR="008C1376">
        <w:rPr>
          <w:rFonts w:eastAsia="Times New Roman"/>
        </w:rPr>
        <w:t xml:space="preserve">e </w:t>
      </w:r>
      <w:r w:rsidR="008C1376" w:rsidRPr="008C1376">
        <w:rPr>
          <w:rFonts w:eastAsia="Times New Roman"/>
        </w:rPr>
        <w:t>la liste des renseignements et des documents pouvant être demandés aux candidats aux marchés publics</w:t>
      </w:r>
      <w:r w:rsidR="00DC1DBB">
        <w:rPr>
          <w:rFonts w:eastAsia="Times New Roman"/>
        </w:rPr>
        <w:t xml:space="preserve">. </w:t>
      </w:r>
      <w:r>
        <w:rPr>
          <w:rFonts w:eastAsia="Times New Roman"/>
        </w:rPr>
        <w:t xml:space="preserve">Eléments principaux </w:t>
      </w:r>
      <w:r w:rsidR="00F63621">
        <w:rPr>
          <w:rFonts w:eastAsia="Times New Roman"/>
        </w:rPr>
        <w:t>:</w:t>
      </w:r>
    </w:p>
    <w:p w14:paraId="1604D7D9" w14:textId="2B1E3AE8" w:rsidR="00206D72" w:rsidRDefault="00206D72" w:rsidP="005E2766">
      <w:pPr>
        <w:pStyle w:val="Paragraphedeliste"/>
        <w:tabs>
          <w:tab w:val="left" w:pos="284"/>
        </w:tabs>
        <w:spacing w:after="240"/>
        <w:ind w:left="680"/>
        <w:jc w:val="both"/>
        <w:rPr>
          <w:rFonts w:eastAsia="Times New Roman"/>
        </w:rPr>
      </w:pPr>
      <w:r>
        <w:rPr>
          <w:rFonts w:eastAsia="Times New Roman"/>
          <w:noProof/>
          <w:lang w:eastAsia="fr-FR"/>
        </w:rPr>
        <w:drawing>
          <wp:inline distT="0" distB="0" distL="0" distR="0" wp14:anchorId="41C6AE2C" wp14:editId="128F34E7">
            <wp:extent cx="4899546" cy="2613546"/>
            <wp:effectExtent l="0" t="19050" r="0" b="15875"/>
            <wp:docPr id="6" name="Diagramme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14:paraId="402676FA" w14:textId="2EBB7EAB" w:rsidR="0077444A" w:rsidRPr="00A461F2" w:rsidRDefault="004D0765" w:rsidP="00A461F2">
      <w:pPr>
        <w:pStyle w:val="Paragraphedeliste"/>
        <w:tabs>
          <w:tab w:val="left" w:pos="284"/>
        </w:tabs>
        <w:spacing w:before="480" w:after="180"/>
        <w:ind w:left="0"/>
        <w:contextualSpacing w:val="0"/>
        <w:jc w:val="both"/>
        <w:rPr>
          <w:rFonts w:eastAsia="Times New Roman"/>
        </w:rPr>
      </w:pPr>
      <w:r w:rsidRPr="00A461F2">
        <w:rPr>
          <w:rFonts w:eastAsia="Times New Roman"/>
        </w:rPr>
        <w:t>L’attention des acheteurs est appelée sur la nécessité de maitriser le volume des documents demandés à l’appui des candidatures, afin de faciliter la constitution du dossier par les candidats</w:t>
      </w:r>
      <w:r w:rsidR="0077444A" w:rsidRPr="00A461F2">
        <w:rPr>
          <w:rFonts w:eastAsia="Times New Roman"/>
        </w:rPr>
        <w:t>, puis leur analyse effective par l’acheteur lui-même</w:t>
      </w:r>
      <w:r w:rsidRPr="00A461F2">
        <w:rPr>
          <w:rFonts w:eastAsia="Times New Roman"/>
        </w:rPr>
        <w:t xml:space="preserve">. </w:t>
      </w:r>
      <w:r w:rsidR="00A461F2">
        <w:rPr>
          <w:rFonts w:eastAsia="Times New Roman"/>
        </w:rPr>
        <w:t xml:space="preserve"> </w:t>
      </w:r>
      <w:r w:rsidR="0077444A" w:rsidRPr="0077444A">
        <w:rPr>
          <w:rFonts w:eastAsia="Times New Roman"/>
          <w:color w:val="000000" w:themeColor="text1"/>
        </w:rPr>
        <w:t xml:space="preserve">Plus qu’une formalité administrative, </w:t>
      </w:r>
      <w:r w:rsidR="0077444A">
        <w:rPr>
          <w:rFonts w:eastAsia="Times New Roman"/>
          <w:color w:val="000000" w:themeColor="text1"/>
        </w:rPr>
        <w:t xml:space="preserve">le choix de documents utiles doit permettre d’éclairer la sélection des candidats et de connaître leur profil (sur la notion de TPE/PME, cf. </w:t>
      </w:r>
      <w:hyperlink w:anchor="_Préambule_sur_la" w:history="1">
        <w:r w:rsidR="0077444A" w:rsidRPr="0077444A">
          <w:rPr>
            <w:rStyle w:val="Lienhypertexte"/>
            <w:rFonts w:eastAsia="Times New Roman"/>
          </w:rPr>
          <w:t>point dédié</w:t>
        </w:r>
      </w:hyperlink>
      <w:r w:rsidR="0077444A">
        <w:rPr>
          <w:rFonts w:eastAsia="Times New Roman"/>
          <w:color w:val="000000" w:themeColor="text1"/>
        </w:rPr>
        <w:t xml:space="preserve">). </w:t>
      </w:r>
    </w:p>
    <w:p w14:paraId="1E78DBDF" w14:textId="77777777" w:rsidR="005B52AF" w:rsidRDefault="001E4D3D" w:rsidP="005F4926">
      <w:pPr>
        <w:pStyle w:val="Exemple"/>
        <w:framePr w:wrap="around"/>
      </w:pPr>
      <w:r w:rsidRPr="001E4D3D">
        <w:rPr>
          <w:highlight w:val="yellow"/>
        </w:rPr>
        <w:t>Exemple / bonne pratique ?</w:t>
      </w:r>
      <w:r w:rsidR="00DD1F55">
        <w:tab/>
      </w:r>
      <w:r w:rsidR="00DD1F55">
        <w:tab/>
      </w:r>
      <w:r w:rsidR="00DD1F55">
        <w:tab/>
      </w:r>
      <w:r w:rsidR="00DD1F55">
        <w:tab/>
      </w:r>
      <w:r w:rsidR="00DD1F55">
        <w:tab/>
      </w:r>
      <w:r w:rsidR="00DD1F55">
        <w:tab/>
      </w:r>
      <w:r w:rsidR="00DD1F55">
        <w:tab/>
      </w:r>
      <w:r w:rsidR="00DD1F55">
        <w:tab/>
      </w:r>
      <w:r w:rsidR="00DD1F55">
        <w:tab/>
      </w:r>
    </w:p>
    <w:p w14:paraId="7CCF32C2" w14:textId="1D97C2EB" w:rsidR="005069E4" w:rsidRDefault="00DD1F55" w:rsidP="005F4926">
      <w:pPr>
        <w:pStyle w:val="Exemple"/>
        <w:framePr w:wrap="around"/>
      </w:pPr>
      <w:r>
        <w:tab/>
      </w:r>
      <w:r w:rsidR="001E4D3D">
        <w:t xml:space="preserve"> </w:t>
      </w:r>
    </w:p>
    <w:p w14:paraId="7333C660" w14:textId="77777777" w:rsidR="005F4926" w:rsidRDefault="005F4926" w:rsidP="0007790D">
      <w:pPr>
        <w:spacing w:before="0" w:after="0" w:line="240" w:lineRule="auto"/>
        <w:jc w:val="center"/>
        <w:rPr>
          <w:rFonts w:eastAsia="Times New Roman"/>
        </w:rPr>
      </w:pPr>
    </w:p>
    <w:p w14:paraId="3763EFBF" w14:textId="77777777" w:rsidR="003B7E62" w:rsidRDefault="00337BC8" w:rsidP="005E2766">
      <w:pPr>
        <w:spacing w:before="0"/>
        <w:rPr>
          <w:rFonts w:eastAsia="Times New Roman"/>
        </w:rPr>
      </w:pPr>
      <w:r w:rsidRPr="00C217B2">
        <w:rPr>
          <w:rFonts w:eastAsia="Times New Roman"/>
        </w:rPr>
        <w:t xml:space="preserve">Pour aller plus loin, vous pouvez consulter la fiche de la DAJ dédiée à </w:t>
      </w:r>
      <w:hyperlink r:id="rId44" w:history="1">
        <w:r w:rsidRPr="00337BC8">
          <w:rPr>
            <w:rStyle w:val="Lienhypertexte"/>
            <w:rFonts w:eastAsia="Times New Roman"/>
          </w:rPr>
          <w:t>l’examen des candidatures</w:t>
        </w:r>
      </w:hyperlink>
      <w:r>
        <w:rPr>
          <w:rFonts w:eastAsia="Times New Roman"/>
        </w:rPr>
        <w:t>.</w:t>
      </w:r>
    </w:p>
    <w:p w14:paraId="18650B30" w14:textId="0FF146FC" w:rsidR="001E4D3D" w:rsidRDefault="001E4D3D">
      <w:pPr>
        <w:rPr>
          <w:rFonts w:eastAsia="Times New Roman"/>
          <w:b/>
          <w:caps/>
          <w:color w:val="004EA8"/>
          <w:spacing w:val="15"/>
        </w:rPr>
      </w:pPr>
      <w:r>
        <w:rPr>
          <w:rFonts w:eastAsia="Times New Roman"/>
        </w:rPr>
        <w:br w:type="page"/>
      </w:r>
    </w:p>
    <w:p w14:paraId="24E479DB" w14:textId="0987B23A" w:rsidR="002429F6" w:rsidRDefault="002429F6" w:rsidP="00AF67E3">
      <w:pPr>
        <w:pStyle w:val="Titre2"/>
        <w:spacing w:after="240"/>
        <w:rPr>
          <w:rFonts w:eastAsia="Times New Roman"/>
        </w:rPr>
      </w:pPr>
      <w:bookmarkStart w:id="19" w:name="_Toc7425929"/>
      <w:r>
        <w:rPr>
          <w:rFonts w:eastAsia="Times New Roman"/>
        </w:rPr>
        <w:lastRenderedPageBreak/>
        <w:t>L’examen des offres</w:t>
      </w:r>
      <w:bookmarkEnd w:id="19"/>
    </w:p>
    <w:p w14:paraId="380F1D1B" w14:textId="074C773E" w:rsidR="0007790D" w:rsidRDefault="0007790D" w:rsidP="0007790D">
      <w:pPr>
        <w:pStyle w:val="Titre3"/>
        <w:rPr>
          <w:rFonts w:eastAsia="Times New Roman"/>
        </w:rPr>
      </w:pPr>
      <w:bookmarkStart w:id="20" w:name="_Toc7425930"/>
      <w:r>
        <w:rPr>
          <w:rFonts w:eastAsia="Times New Roman"/>
        </w:rPr>
        <w:t>Détermination des critère</w:t>
      </w:r>
      <w:r w:rsidR="002C3946">
        <w:rPr>
          <w:rFonts w:eastAsia="Times New Roman"/>
        </w:rPr>
        <w:t>s</w:t>
      </w:r>
      <w:r>
        <w:rPr>
          <w:rFonts w:eastAsia="Times New Roman"/>
        </w:rPr>
        <w:t xml:space="preserve"> </w:t>
      </w:r>
      <w:r w:rsidR="00583DB5">
        <w:rPr>
          <w:rFonts w:eastAsia="Times New Roman"/>
        </w:rPr>
        <w:t>et de leur ponderation</w:t>
      </w:r>
      <w:bookmarkEnd w:id="20"/>
    </w:p>
    <w:p w14:paraId="5603DEB3" w14:textId="6040D78F" w:rsidR="00C56B54" w:rsidRDefault="00C56B54" w:rsidP="00B972F2">
      <w:pPr>
        <w:spacing w:after="120"/>
        <w:jc w:val="both"/>
        <w:rPr>
          <w:rFonts w:eastAsia="Times New Roman"/>
        </w:rPr>
      </w:pPr>
      <w:r w:rsidRPr="00C56B54">
        <w:rPr>
          <w:rFonts w:eastAsia="Times New Roman"/>
        </w:rPr>
        <w:t>L’examen des offres doit permettre de choisir l’</w:t>
      </w:r>
      <w:r w:rsidRPr="008F5F0C">
        <w:rPr>
          <w:rFonts w:eastAsia="Times New Roman"/>
          <w:b/>
        </w:rPr>
        <w:t>offre économiquement la plus avantageuse</w:t>
      </w:r>
      <w:r w:rsidR="00CB76DD" w:rsidRPr="00CB76DD">
        <w:rPr>
          <w:rFonts w:eastAsia="Times New Roman"/>
        </w:rPr>
        <w:t>, qui ne</w:t>
      </w:r>
      <w:r w:rsidR="00CB76DD">
        <w:rPr>
          <w:rFonts w:eastAsia="Times New Roman"/>
          <w:b/>
        </w:rPr>
        <w:t xml:space="preserve"> </w:t>
      </w:r>
      <w:r w:rsidR="00CB76DD">
        <w:t xml:space="preserve">signifie pas </w:t>
      </w:r>
      <w:r w:rsidR="00CB76DD" w:rsidRPr="00C56B54">
        <w:t>l’offre au prix le plus bas</w:t>
      </w:r>
      <w:r w:rsidRPr="00C56B54">
        <w:rPr>
          <w:rFonts w:eastAsia="Times New Roman"/>
        </w:rPr>
        <w:t>. A cet égard, le choix des critères d</w:t>
      </w:r>
      <w:r w:rsidR="00EC03CA">
        <w:rPr>
          <w:rFonts w:eastAsia="Times New Roman"/>
        </w:rPr>
        <w:t>’attribution</w:t>
      </w:r>
      <w:r w:rsidRPr="00C56B54">
        <w:rPr>
          <w:rFonts w:eastAsia="Times New Roman"/>
        </w:rPr>
        <w:t xml:space="preserve"> pertinents revêt une importance </w:t>
      </w:r>
      <w:r w:rsidR="00350CC3" w:rsidRPr="00C56B54">
        <w:rPr>
          <w:rFonts w:eastAsia="Times New Roman"/>
        </w:rPr>
        <w:t>cruciale</w:t>
      </w:r>
      <w:r w:rsidR="00B8592B">
        <w:rPr>
          <w:rFonts w:eastAsia="Times New Roman"/>
        </w:rPr>
        <w:t xml:space="preserve"> et découle directement de </w:t>
      </w:r>
      <w:hyperlink w:anchor="_Fiche_1_:" w:history="1">
        <w:r w:rsidR="00B8592B" w:rsidRPr="00B07AD9">
          <w:rPr>
            <w:rStyle w:val="Lienhypertexte"/>
            <w:rFonts w:eastAsia="Times New Roman"/>
          </w:rPr>
          <w:t>l’analyse du besoin</w:t>
        </w:r>
      </w:hyperlink>
      <w:r w:rsidR="00F82639">
        <w:rPr>
          <w:rFonts w:eastAsia="Times New Roman"/>
        </w:rPr>
        <w:t>, qui aura fait apparaitre les éléments quantitatifs et/ou qualitatifs les plus structurants pour la consultation</w:t>
      </w:r>
      <w:r w:rsidRPr="00C56B54">
        <w:rPr>
          <w:rFonts w:eastAsia="Times New Roman"/>
        </w:rPr>
        <w:t>.</w:t>
      </w:r>
    </w:p>
    <w:p w14:paraId="66ED9CD9" w14:textId="77777777" w:rsidR="00B972F2" w:rsidRPr="003E16A0" w:rsidRDefault="00B972F2" w:rsidP="00B972F2">
      <w:pPr>
        <w:spacing w:before="60" w:after="0"/>
        <w:jc w:val="both"/>
      </w:pPr>
      <w:r w:rsidRPr="003E16A0">
        <w:t>L’usage des critères d’attribution obéit à des règles simples :</w:t>
      </w:r>
    </w:p>
    <w:p w14:paraId="44A73156" w14:textId="221979C3" w:rsidR="00B972F2" w:rsidRPr="003E16A0" w:rsidRDefault="00B972F2" w:rsidP="00B972F2">
      <w:pPr>
        <w:pStyle w:val="Paragraphedeliste"/>
        <w:numPr>
          <w:ilvl w:val="0"/>
          <w:numId w:val="3"/>
        </w:numPr>
        <w:spacing w:before="60" w:after="0" w:line="240" w:lineRule="auto"/>
        <w:ind w:left="714" w:hanging="357"/>
        <w:contextualSpacing w:val="0"/>
        <w:jc w:val="both"/>
      </w:pPr>
      <w:r w:rsidRPr="003E16A0">
        <w:t>le</w:t>
      </w:r>
      <w:r w:rsidR="00F901A1">
        <w:t>s</w:t>
      </w:r>
      <w:r w:rsidRPr="003E16A0">
        <w:t xml:space="preserve"> critère</w:t>
      </w:r>
      <w:r w:rsidR="00F901A1">
        <w:t>s</w:t>
      </w:r>
      <w:r w:rsidRPr="003E16A0">
        <w:t xml:space="preserve"> doi</w:t>
      </w:r>
      <w:r w:rsidR="00F901A1">
        <w:t>ven</w:t>
      </w:r>
      <w:r w:rsidRPr="003E16A0">
        <w:t xml:space="preserve">t avoir un </w:t>
      </w:r>
      <w:r w:rsidRPr="00116526">
        <w:rPr>
          <w:u w:val="single"/>
        </w:rPr>
        <w:t>lien avec l’objet du marché</w:t>
      </w:r>
      <w:r w:rsidR="000B429F">
        <w:rPr>
          <w:u w:val="single"/>
        </w:rPr>
        <w:t xml:space="preserve"> ou ses conditions d’exécution</w:t>
      </w:r>
      <w:r w:rsidRPr="003E16A0">
        <w:t xml:space="preserve"> ;</w:t>
      </w:r>
    </w:p>
    <w:p w14:paraId="5D1C776C" w14:textId="70022E04" w:rsidR="00B972F2" w:rsidRPr="003E16A0" w:rsidRDefault="00B972F2" w:rsidP="00B972F2">
      <w:pPr>
        <w:pStyle w:val="Paragraphedeliste"/>
        <w:numPr>
          <w:ilvl w:val="0"/>
          <w:numId w:val="3"/>
        </w:numPr>
        <w:spacing w:before="60" w:after="0" w:line="240" w:lineRule="auto"/>
        <w:ind w:left="714" w:hanging="357"/>
        <w:contextualSpacing w:val="0"/>
        <w:jc w:val="both"/>
      </w:pPr>
      <w:r w:rsidRPr="003E16A0">
        <w:t>il</w:t>
      </w:r>
      <w:r w:rsidR="00F901A1">
        <w:t>s</w:t>
      </w:r>
      <w:r w:rsidRPr="003E16A0">
        <w:t xml:space="preserve"> doi</w:t>
      </w:r>
      <w:r w:rsidR="00F901A1">
        <w:t>ven</w:t>
      </w:r>
      <w:r w:rsidRPr="003E16A0">
        <w:t>t être formulé</w:t>
      </w:r>
      <w:r w:rsidR="00F901A1">
        <w:t>s</w:t>
      </w:r>
      <w:r w:rsidRPr="003E16A0">
        <w:t xml:space="preserve"> de manière à permettre à tous les soumissionnaires raisonnablement informés et diligents de </w:t>
      </w:r>
      <w:r w:rsidRPr="00F901A1">
        <w:rPr>
          <w:u w:val="single"/>
        </w:rPr>
        <w:t>l</w:t>
      </w:r>
      <w:r w:rsidR="00F901A1">
        <w:rPr>
          <w:u w:val="single"/>
        </w:rPr>
        <w:t xml:space="preserve">es </w:t>
      </w:r>
      <w:r w:rsidRPr="00F901A1">
        <w:rPr>
          <w:u w:val="single"/>
        </w:rPr>
        <w:t>interpréter de façon similaire</w:t>
      </w:r>
      <w:r>
        <w:t xml:space="preserve"> </w:t>
      </w:r>
      <w:r w:rsidRPr="003E16A0">
        <w:t>;</w:t>
      </w:r>
    </w:p>
    <w:p w14:paraId="281E5981" w14:textId="1FEBC1F4" w:rsidR="00B972F2" w:rsidRDefault="00F901A1" w:rsidP="009C5624">
      <w:pPr>
        <w:pStyle w:val="Paragraphedeliste"/>
        <w:numPr>
          <w:ilvl w:val="0"/>
          <w:numId w:val="3"/>
        </w:numPr>
        <w:spacing w:before="60" w:after="120"/>
        <w:ind w:left="714" w:hanging="357"/>
        <w:contextualSpacing w:val="0"/>
        <w:jc w:val="both"/>
      </w:pPr>
      <w:r>
        <w:t>ils</w:t>
      </w:r>
      <w:r w:rsidR="00B972F2" w:rsidRPr="003E16A0">
        <w:t xml:space="preserve"> doivent être </w:t>
      </w:r>
      <w:r w:rsidR="00B972F2" w:rsidRPr="00F20094">
        <w:rPr>
          <w:u w:val="single"/>
        </w:rPr>
        <w:t>portés à la connaissance des candidats</w:t>
      </w:r>
      <w:r w:rsidR="004A2C17" w:rsidRPr="004A2C17">
        <w:t xml:space="preserve"> (y compris les sous-critères susceptibles d’exercer une influence importante)</w:t>
      </w:r>
      <w:r w:rsidR="00B972F2" w:rsidRPr="004A2C17">
        <w:t>,</w:t>
      </w:r>
      <w:r w:rsidR="00B972F2" w:rsidRPr="003E16A0">
        <w:t xml:space="preserve"> de même que leur pondération</w:t>
      </w:r>
      <w:r w:rsidR="003179FF">
        <w:t xml:space="preserve"> ou à défaut leur hiérarchisation</w:t>
      </w:r>
      <w:r w:rsidR="005F3E32">
        <w:rPr>
          <w:rStyle w:val="Appelnotedebasdep"/>
        </w:rPr>
        <w:footnoteReference w:id="16"/>
      </w:r>
      <w:r w:rsidR="00B972F2" w:rsidRPr="003E16A0">
        <w:t xml:space="preserve">. </w:t>
      </w:r>
    </w:p>
    <w:p w14:paraId="3EB7B6FB" w14:textId="599C5EA7" w:rsidR="00F901A1" w:rsidRDefault="00F901A1" w:rsidP="0021277B">
      <w:pPr>
        <w:spacing w:before="60" w:after="120"/>
        <w:jc w:val="both"/>
      </w:pPr>
      <w:r w:rsidRPr="00F901A1">
        <w:t>Quelle que soit la technique de pondération retenue (</w:t>
      </w:r>
      <w:r>
        <w:t xml:space="preserve">ex : </w:t>
      </w:r>
      <w:r w:rsidRPr="00F901A1">
        <w:t>pourcentage, coefficient, système d’attribution de points, fourchette...), les modalités de choix des offres doi</w:t>
      </w:r>
      <w:r>
        <w:t>vent être suffisamment précises</w:t>
      </w:r>
      <w:r w:rsidRPr="00F901A1">
        <w:t xml:space="preserve"> pour ne pas laisser à l’acheteur un choix arbitraire, incompatible avec les principes d’impartialité et de transparence.</w:t>
      </w:r>
    </w:p>
    <w:p w14:paraId="711C389D" w14:textId="4AD30382" w:rsidR="002B4F0F" w:rsidRDefault="008F5F0C" w:rsidP="00C015DA">
      <w:pPr>
        <w:spacing w:after="180"/>
        <w:jc w:val="both"/>
      </w:pPr>
      <w:r>
        <w:t>Afin d’accompagner les acheteurs dans la détermination des critères, l</w:t>
      </w:r>
      <w:r w:rsidR="00C52468" w:rsidRPr="00FC0CE0">
        <w:t xml:space="preserve">es </w:t>
      </w:r>
      <w:r w:rsidR="00C52468">
        <w:t xml:space="preserve">réglementations </w:t>
      </w:r>
      <w:r w:rsidR="00C52468" w:rsidRPr="00FC0CE0">
        <w:t>européenne</w:t>
      </w:r>
      <w:r w:rsidR="00C52468">
        <w:t xml:space="preserve"> et nationale </w:t>
      </w:r>
      <w:r w:rsidR="00C52468" w:rsidRPr="00FC0CE0">
        <w:t xml:space="preserve">établissent une </w:t>
      </w:r>
      <w:r w:rsidR="00C52468" w:rsidRPr="002B4F0F">
        <w:rPr>
          <w:b/>
        </w:rPr>
        <w:t xml:space="preserve">liste indicative </w:t>
      </w:r>
      <w:r w:rsidR="00116526">
        <w:t xml:space="preserve">(cf. </w:t>
      </w:r>
      <w:hyperlink r:id="rId45" w:anchor="LEGISCTA000037730489" w:history="1">
        <w:r w:rsidR="002B4F0F" w:rsidRPr="006201B3">
          <w:rPr>
            <w:rStyle w:val="Lienhypertexte"/>
          </w:rPr>
          <w:t>article</w:t>
        </w:r>
        <w:r w:rsidR="006201B3" w:rsidRPr="006201B3">
          <w:rPr>
            <w:rStyle w:val="Lienhypertexte"/>
          </w:rPr>
          <w:t xml:space="preserve"> R</w:t>
        </w:r>
        <w:r w:rsidR="00242832">
          <w:rPr>
            <w:rStyle w:val="Lienhypertexte"/>
          </w:rPr>
          <w:t xml:space="preserve">. </w:t>
        </w:r>
        <w:r w:rsidR="006201B3" w:rsidRPr="006201B3">
          <w:rPr>
            <w:rStyle w:val="Lienhypertexte"/>
          </w:rPr>
          <w:t xml:space="preserve">2152-7 </w:t>
        </w:r>
        <w:r w:rsidR="002B4F0F" w:rsidRPr="006201B3">
          <w:rPr>
            <w:rStyle w:val="Lienhypertexte"/>
          </w:rPr>
          <w:t>du CCP</w:t>
        </w:r>
      </w:hyperlink>
      <w:r>
        <w:t>) :</w:t>
      </w:r>
      <w:r w:rsidR="002B4F0F">
        <w:t xml:space="preserve"> </w:t>
      </w:r>
    </w:p>
    <w:p w14:paraId="64EC0A70" w14:textId="0695F513" w:rsidR="00077C68" w:rsidRDefault="00077C68" w:rsidP="000E4A38">
      <w:pPr>
        <w:spacing w:after="0"/>
        <w:ind w:left="510"/>
        <w:jc w:val="both"/>
      </w:pPr>
      <w:r>
        <w:rPr>
          <w:noProof/>
          <w:lang w:eastAsia="fr-FR"/>
        </w:rPr>
        <w:drawing>
          <wp:inline distT="0" distB="0" distL="0" distR="0" wp14:anchorId="41E79685" wp14:editId="174215C7">
            <wp:extent cx="4756244" cy="2893325"/>
            <wp:effectExtent l="0" t="0" r="25400" b="21590"/>
            <wp:docPr id="33" name="Diagramme 3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14:paraId="2370ED1A" w14:textId="7C657CDA" w:rsidR="005F3E32" w:rsidRPr="005F3E32" w:rsidRDefault="00F82639" w:rsidP="009C31B4">
      <w:pPr>
        <w:pStyle w:val="Encart"/>
        <w:spacing w:before="300" w:line="264" w:lineRule="auto"/>
      </w:pPr>
      <w:r w:rsidRPr="00C56B54">
        <w:t xml:space="preserve">Les </w:t>
      </w:r>
      <w:r w:rsidRPr="009C771F">
        <w:t>critères de sélection, librement choisis par l’acheteur</w:t>
      </w:r>
      <w:r w:rsidRPr="00C56B54">
        <w:t xml:space="preserve">, doivent permettre d’apprécier la </w:t>
      </w:r>
      <w:r w:rsidRPr="00B972F2">
        <w:t>performance globale du marché</w:t>
      </w:r>
      <w:r w:rsidRPr="00C56B54">
        <w:t xml:space="preserve"> et porter une attention particulière à la qualité des prestations fournies, ainsi qu’au respect des modalités d’exécution du marché.</w:t>
      </w:r>
      <w:r w:rsidR="005F3E32" w:rsidRPr="005F3E32">
        <w:rPr>
          <w:noProof/>
          <w:lang w:eastAsia="fr-FR"/>
        </w:rPr>
        <w:t xml:space="preserve"> </w:t>
      </w:r>
      <w:r w:rsidR="005F3E32" w:rsidRPr="005F3E32">
        <w:t>Si le recours à un critère unique (prix ou coût) est possible dans certains cas</w:t>
      </w:r>
      <w:r w:rsidR="005F3E32" w:rsidRPr="005F3E32">
        <w:rPr>
          <w:vertAlign w:val="superscript"/>
        </w:rPr>
        <w:footnoteReference w:id="17"/>
      </w:r>
      <w:r w:rsidR="005F3E32" w:rsidRPr="005F3E32">
        <w:t xml:space="preserve">, le recours à une </w:t>
      </w:r>
      <w:r w:rsidR="005F3E32" w:rsidRPr="005F3E32">
        <w:rPr>
          <w:b/>
        </w:rPr>
        <w:t>pluralité de critères</w:t>
      </w:r>
      <w:r w:rsidR="005F3E32" w:rsidRPr="005F3E32">
        <w:t xml:space="preserve"> est toujours recommandé pour valoriser d’autres éléments de l’offre.</w:t>
      </w:r>
    </w:p>
    <w:p w14:paraId="0B7222DF" w14:textId="175925C0" w:rsidR="001A3860" w:rsidRPr="00586CAA" w:rsidRDefault="00F901A1" w:rsidP="00A37C5D">
      <w:pPr>
        <w:spacing w:before="120" w:after="120"/>
        <w:jc w:val="both"/>
        <w:rPr>
          <w:color w:val="FF0000"/>
        </w:rPr>
      </w:pPr>
      <w:r w:rsidRPr="00586CAA">
        <w:rPr>
          <w:color w:val="FF0000"/>
        </w:rPr>
        <w:lastRenderedPageBreak/>
        <w:t>Pour que l</w:t>
      </w:r>
      <w:r w:rsidR="00CB76DD" w:rsidRPr="00586CAA">
        <w:rPr>
          <w:color w:val="FF0000"/>
        </w:rPr>
        <w:t>e recours à une pluralité de critère</w:t>
      </w:r>
      <w:r w:rsidRPr="00586CAA">
        <w:rPr>
          <w:color w:val="FF0000"/>
        </w:rPr>
        <w:t>s</w:t>
      </w:r>
      <w:r w:rsidR="00CB76DD" w:rsidRPr="00586CAA">
        <w:rPr>
          <w:color w:val="FF0000"/>
        </w:rPr>
        <w:t xml:space="preserve"> </w:t>
      </w:r>
      <w:r w:rsidRPr="00586CAA">
        <w:rPr>
          <w:color w:val="FF0000"/>
        </w:rPr>
        <w:t xml:space="preserve">soit pleinement effectif, </w:t>
      </w:r>
      <w:r w:rsidR="00CB76DD" w:rsidRPr="00586CAA">
        <w:rPr>
          <w:color w:val="FF0000"/>
        </w:rPr>
        <w:t>leur</w:t>
      </w:r>
      <w:r w:rsidR="00D55A4C" w:rsidRPr="00586CAA">
        <w:rPr>
          <w:color w:val="FF0000"/>
        </w:rPr>
        <w:t xml:space="preserve"> </w:t>
      </w:r>
      <w:r w:rsidR="00D55A4C" w:rsidRPr="00586CAA">
        <w:rPr>
          <w:b/>
          <w:color w:val="FF0000"/>
        </w:rPr>
        <w:t>pondération</w:t>
      </w:r>
      <w:r w:rsidR="00D55A4C" w:rsidRPr="00586CAA">
        <w:rPr>
          <w:color w:val="FF0000"/>
        </w:rPr>
        <w:t xml:space="preserve"> (et sous-critères éventuels) </w:t>
      </w:r>
      <w:r w:rsidRPr="00586CAA">
        <w:rPr>
          <w:color w:val="FF0000"/>
        </w:rPr>
        <w:t>doit être</w:t>
      </w:r>
      <w:r w:rsidR="00D55A4C" w:rsidRPr="00586CAA">
        <w:rPr>
          <w:color w:val="FF0000"/>
        </w:rPr>
        <w:t xml:space="preserve"> </w:t>
      </w:r>
      <w:r w:rsidR="00D55A4C" w:rsidRPr="00586CAA">
        <w:rPr>
          <w:b/>
          <w:color w:val="FF0000"/>
        </w:rPr>
        <w:t>en réelle adéquation avec le niveau de qualité attendu</w:t>
      </w:r>
      <w:r w:rsidR="00D55A4C" w:rsidRPr="00586CAA">
        <w:rPr>
          <w:color w:val="FF0000"/>
        </w:rPr>
        <w:t xml:space="preserve"> et ne </w:t>
      </w:r>
      <w:r w:rsidRPr="00586CAA">
        <w:rPr>
          <w:color w:val="FF0000"/>
        </w:rPr>
        <w:t xml:space="preserve">pas </w:t>
      </w:r>
      <w:r w:rsidR="00D55A4C" w:rsidRPr="00586CAA">
        <w:rPr>
          <w:color w:val="FF0000"/>
        </w:rPr>
        <w:t>masque</w:t>
      </w:r>
      <w:r w:rsidRPr="00586CAA">
        <w:rPr>
          <w:color w:val="FF0000"/>
        </w:rPr>
        <w:t>r</w:t>
      </w:r>
      <w:r w:rsidR="00D55A4C" w:rsidRPr="00586CAA">
        <w:rPr>
          <w:color w:val="FF0000"/>
        </w:rPr>
        <w:t xml:space="preserve"> une sélection réalisée majoritairement par le prix. </w:t>
      </w:r>
    </w:p>
    <w:p w14:paraId="5384AEAF" w14:textId="7CDF5986" w:rsidR="008633E3" w:rsidRDefault="008633E3" w:rsidP="008633E3">
      <w:pPr>
        <w:spacing w:before="60" w:after="60"/>
        <w:jc w:val="both"/>
      </w:pPr>
      <w:r>
        <w:t>En effet, si le critère prix est prépondérant</w:t>
      </w:r>
      <w:r w:rsidR="00F2169B">
        <w:t xml:space="preserve"> (au-delà de 50 %)</w:t>
      </w:r>
      <w:r>
        <w:t xml:space="preserve">, on peut se trouver dans une situation de sous-qualité qui, à terme, se révèlera plus coûteuse pour l’acheteur. A l’inverse, si le poids des autres critères est trop élevé, on pourra se trouver dans une situation de sur-qualité qui dépassera les besoins réels de l’administration. </w:t>
      </w:r>
    </w:p>
    <w:p w14:paraId="4617657A" w14:textId="6E9B99DE" w:rsidR="00F623DE" w:rsidRDefault="00E874D5" w:rsidP="00F623DE">
      <w:pPr>
        <w:spacing w:before="60" w:after="0"/>
        <w:jc w:val="both"/>
      </w:pPr>
      <w:r>
        <w:t>A</w:t>
      </w:r>
      <w:r w:rsidR="00306E98">
        <w:t xml:space="preserve">u-delà de considérations budgétaires évidentes, </w:t>
      </w:r>
      <w:r>
        <w:t xml:space="preserve">la surpondération du critère prix peut </w:t>
      </w:r>
      <w:r w:rsidR="00FE573E">
        <w:t xml:space="preserve">aussi </w:t>
      </w:r>
      <w:r>
        <w:t xml:space="preserve">s’expliquer par le fait que </w:t>
      </w:r>
      <w:r w:rsidR="00306E98">
        <w:t xml:space="preserve">certains acheteurs </w:t>
      </w:r>
      <w:r>
        <w:t xml:space="preserve">le </w:t>
      </w:r>
      <w:r w:rsidR="00306E98">
        <w:t xml:space="preserve">considèrent </w:t>
      </w:r>
      <w:r>
        <w:t xml:space="preserve">comme </w:t>
      </w:r>
      <w:r w:rsidR="00306E98">
        <w:t>plus facile à objectiv</w:t>
      </w:r>
      <w:r w:rsidR="00481674">
        <w:t>er</w:t>
      </w:r>
      <w:r w:rsidR="00306E98">
        <w:t xml:space="preserve"> (car mathématique) </w:t>
      </w:r>
      <w:r w:rsidR="00872E53">
        <w:t xml:space="preserve">par rapport à </w:t>
      </w:r>
      <w:r w:rsidR="00306E98">
        <w:t xml:space="preserve">la valeur technique. </w:t>
      </w:r>
    </w:p>
    <w:p w14:paraId="2DE03BD5" w14:textId="2F3C5A36" w:rsidR="008759F4" w:rsidRDefault="00337973" w:rsidP="00FE573E">
      <w:pPr>
        <w:spacing w:before="0" w:after="0"/>
        <w:jc w:val="center"/>
      </w:pPr>
      <w:r>
        <w:rPr>
          <w:noProof/>
          <w:lang w:eastAsia="fr-FR"/>
        </w:rPr>
        <w:drawing>
          <wp:inline distT="0" distB="0" distL="0" distR="0" wp14:anchorId="2139A43D" wp14:editId="3BA910BB">
            <wp:extent cx="2655418" cy="1275807"/>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666774" cy="1281263"/>
                    </a:xfrm>
                    <a:prstGeom prst="rect">
                      <a:avLst/>
                    </a:prstGeom>
                    <a:noFill/>
                  </pic:spPr>
                </pic:pic>
              </a:graphicData>
            </a:graphic>
          </wp:inline>
        </w:drawing>
      </w:r>
    </w:p>
    <w:p w14:paraId="5C118B47" w14:textId="77777777" w:rsidR="009F0B26" w:rsidRDefault="00481725" w:rsidP="00A02CCA">
      <w:pPr>
        <w:spacing w:before="0" w:after="60"/>
        <w:jc w:val="both"/>
      </w:pPr>
      <w:r>
        <w:t>L</w:t>
      </w:r>
      <w:r w:rsidR="005F3E32" w:rsidRPr="005F3E32">
        <w:t xml:space="preserve">a détermination de </w:t>
      </w:r>
      <w:r w:rsidR="005F3E32" w:rsidRPr="00D96986">
        <w:rPr>
          <w:b/>
        </w:rPr>
        <w:t>sous-critères qualitatifs</w:t>
      </w:r>
      <w:r w:rsidR="005F3E32" w:rsidRPr="005F3E32">
        <w:t xml:space="preserve"> en lien avec les spécifications techniques ou fonctionnelles contribuera à limiter la marge d’appréciation et à atténuer le caractère nécessairement « subjectif » de l’analyse.</w:t>
      </w:r>
      <w:r w:rsidR="005F3E32">
        <w:rPr>
          <w:highlight w:val="yellow"/>
        </w:rPr>
        <w:t xml:space="preserve"> </w:t>
      </w:r>
    </w:p>
    <w:p w14:paraId="34FB08FC" w14:textId="699819F9" w:rsidR="00452AA0" w:rsidRPr="00F623DE" w:rsidRDefault="00B91473" w:rsidP="00B91473">
      <w:pPr>
        <w:spacing w:before="60" w:after="60"/>
        <w:jc w:val="both"/>
        <w:rPr>
          <w:highlight w:val="yellow"/>
        </w:rPr>
      </w:pPr>
      <w:r w:rsidRPr="00B91473">
        <w:t>Il est délicat de citer des exemples de sous-critères, dans la mesure où ceux-ci sont variables en fonction de chaque consultation</w:t>
      </w:r>
      <w:r w:rsidR="00D96986">
        <w:t xml:space="preserve"> (en particulier la notion de </w:t>
      </w:r>
      <w:r w:rsidR="006C48C3">
        <w:t>« </w:t>
      </w:r>
      <w:r w:rsidR="00D96986">
        <w:t>qualité</w:t>
      </w:r>
      <w:r w:rsidR="006C48C3">
        <w:t> »</w:t>
      </w:r>
      <w:r w:rsidR="00D96986">
        <w:t>)</w:t>
      </w:r>
      <w:r w:rsidRPr="00B91473">
        <w:t>. Quelques critères fréquents : délais de livraison ou d’intervention, mod</w:t>
      </w:r>
      <w:r w:rsidR="00D96986">
        <w:t xml:space="preserve">alités de maintenance ou de garantie, caractère esthétique ou ergonomique, </w:t>
      </w:r>
      <w:r w:rsidR="009F0B26" w:rsidRPr="009F0B26">
        <w:t xml:space="preserve">moyens humains </w:t>
      </w:r>
      <w:r w:rsidR="009F0B26">
        <w:t xml:space="preserve">/ techniques </w:t>
      </w:r>
      <w:r w:rsidR="009F0B26" w:rsidRPr="009F0B26">
        <w:t>mis en œuvre pour l’exécution des prestations</w:t>
      </w:r>
      <w:r w:rsidR="009F0B26">
        <w:t xml:space="preserve">, </w:t>
      </w:r>
      <w:r w:rsidR="00357130">
        <w:t xml:space="preserve">etc. </w:t>
      </w:r>
    </w:p>
    <w:p w14:paraId="12E4C213" w14:textId="445C8F8D" w:rsidR="00E3338F" w:rsidRPr="0087278F" w:rsidRDefault="00E3338F" w:rsidP="00481725">
      <w:pPr>
        <w:pStyle w:val="Exemple"/>
        <w:framePr w:wrap="around"/>
        <w:spacing w:before="120" w:after="60"/>
        <w:rPr>
          <w:sz w:val="18"/>
        </w:rPr>
      </w:pPr>
      <w:r w:rsidRPr="0087278F">
        <w:rPr>
          <w:sz w:val="18"/>
        </w:rPr>
        <w:t xml:space="preserve">Une formule de </w:t>
      </w:r>
      <w:r w:rsidRPr="0087278F">
        <w:rPr>
          <w:b/>
          <w:sz w:val="18"/>
        </w:rPr>
        <w:t>rééquilibrage du poids du critère prix</w:t>
      </w:r>
      <w:r w:rsidRPr="0087278F">
        <w:rPr>
          <w:sz w:val="18"/>
        </w:rPr>
        <w:t xml:space="preserve"> par rapport aux autres peut être employée :</w:t>
      </w:r>
    </w:p>
    <w:p w14:paraId="598987EA" w14:textId="702CEAF3" w:rsidR="005F3E32" w:rsidRPr="0087278F" w:rsidRDefault="005F3E32" w:rsidP="00452AA0">
      <w:pPr>
        <w:pStyle w:val="Exemple"/>
        <w:framePr w:wrap="around"/>
        <w:spacing w:after="60"/>
        <w:rPr>
          <w:sz w:val="18"/>
        </w:rPr>
      </w:pPr>
      <w:r w:rsidRPr="0087278F">
        <w:rPr>
          <w:sz w:val="18"/>
        </w:rPr>
        <w:t>Le critère du prix est le seul critère objectif et déterminé mathématiquement : la meilleure note aura en général 10/10. Les autres critères, tel celui de la valeur technique, font l’objet d’une appréciation nécessairement plus subjective</w:t>
      </w:r>
      <w:r w:rsidR="00266ABB">
        <w:rPr>
          <w:sz w:val="18"/>
        </w:rPr>
        <w:t>, ou en tout cas moins « mathématique »,</w:t>
      </w:r>
      <w:r w:rsidRPr="0087278F">
        <w:rPr>
          <w:sz w:val="18"/>
        </w:rPr>
        <w:t xml:space="preserve"> car dépendante de l’évaluateur (expérience, goûts…). De ce fait, la note maximale </w:t>
      </w:r>
      <w:r w:rsidR="00266ABB">
        <w:rPr>
          <w:sz w:val="18"/>
        </w:rPr>
        <w:t xml:space="preserve">de 10/10 </w:t>
      </w:r>
      <w:r w:rsidRPr="0087278F">
        <w:rPr>
          <w:sz w:val="18"/>
        </w:rPr>
        <w:t xml:space="preserve">est rarement utilisée. Le prix va donc être surpondéré dans l’appréciation finale. </w:t>
      </w:r>
    </w:p>
    <w:p w14:paraId="0C30061C" w14:textId="77777777" w:rsidR="005F3E32" w:rsidRPr="0087278F" w:rsidRDefault="005F3E32" w:rsidP="00452AA0">
      <w:pPr>
        <w:pStyle w:val="Exemple"/>
        <w:framePr w:wrap="around"/>
        <w:spacing w:after="60"/>
        <w:rPr>
          <w:sz w:val="18"/>
        </w:rPr>
      </w:pPr>
      <w:r w:rsidRPr="0087278F">
        <w:rPr>
          <w:sz w:val="18"/>
        </w:rPr>
        <w:t xml:space="preserve">A titre d’exemple, dans une consultation où la valeur technique compte pour 60 % et le prix pour 40 %, si l’on attribue une note de 7/10 à la meilleure offre technique, son poids relatif va être à peine supérieur à celui de la meilleure offre financière, si celle-ci est à 10/10. En effet, la meilleure note prix va rapporter 40 points sur 100 (4*10), alors que la note technique ne rapportera que 42 points sur 100 (7*6). </w:t>
      </w:r>
    </w:p>
    <w:p w14:paraId="05F04AAF" w14:textId="77777777" w:rsidR="00B74909" w:rsidRDefault="005F3E32" w:rsidP="00B74909">
      <w:pPr>
        <w:pStyle w:val="Exemple"/>
        <w:framePr w:wrap="around"/>
        <w:spacing w:after="60"/>
        <w:rPr>
          <w:sz w:val="18"/>
        </w:rPr>
      </w:pPr>
      <w:r w:rsidRPr="0087278F">
        <w:rPr>
          <w:sz w:val="18"/>
        </w:rPr>
        <w:t>Une solution très simple, conforme à la jurisprudence, permet de conserver le poids relatif des critères : il suffit, après que chaque offre a été notée individuellement, de porter systématiquement et pour chaque critère, la meilleure note à 10, les notes suivantes étant, selon une règle de 3, portées elles aussi à une valeur par référence à la meilleure note. Ainsi le poids relatif de chaque critère est conservé.</w:t>
      </w:r>
      <w:r w:rsidR="00B74909">
        <w:rPr>
          <w:sz w:val="18"/>
        </w:rPr>
        <w:t xml:space="preserve"> </w:t>
      </w:r>
    </w:p>
    <w:p w14:paraId="4CEEBEC1" w14:textId="6E6DDEB5" w:rsidR="005F3E32" w:rsidRPr="0087278F" w:rsidRDefault="00B74909" w:rsidP="00A02CCA">
      <w:pPr>
        <w:pStyle w:val="Exemple"/>
        <w:framePr w:wrap="around"/>
        <w:spacing w:after="60"/>
        <w:rPr>
          <w:sz w:val="18"/>
        </w:rPr>
      </w:pPr>
      <w:r>
        <w:rPr>
          <w:sz w:val="18"/>
        </w:rPr>
        <w:t>La méthode figure bien évidement dans les documents de consultation, sinon elle ne peut être utilisée.</w:t>
      </w:r>
    </w:p>
    <w:p w14:paraId="77D333CB" w14:textId="0E21739C" w:rsidR="005F3E32" w:rsidRPr="0087278F" w:rsidRDefault="005F3E32" w:rsidP="005F3E32">
      <w:pPr>
        <w:pStyle w:val="Exemple"/>
        <w:framePr w:wrap="around"/>
        <w:spacing w:after="120"/>
        <w:rPr>
          <w:sz w:val="18"/>
        </w:rPr>
      </w:pPr>
      <w:r w:rsidRPr="0087278F">
        <w:rPr>
          <w:sz w:val="18"/>
        </w:rPr>
        <w:t xml:space="preserve">Pour plus de détails sur les méthodes potentielles de notation, consulter le </w:t>
      </w:r>
      <w:hyperlink r:id="rId52" w:history="1">
        <w:r w:rsidRPr="0087278F">
          <w:rPr>
            <w:rStyle w:val="Lienhypertexte"/>
            <w:sz w:val="18"/>
          </w:rPr>
          <w:t xml:space="preserve">guide </w:t>
        </w:r>
        <w:r w:rsidR="000068C2">
          <w:rPr>
            <w:rStyle w:val="Lienhypertexte"/>
            <w:sz w:val="18"/>
          </w:rPr>
          <w:t xml:space="preserve">pratique </w:t>
        </w:r>
        <w:r w:rsidRPr="0087278F">
          <w:rPr>
            <w:rStyle w:val="Lienhypertexte"/>
            <w:sz w:val="18"/>
          </w:rPr>
          <w:t>sur les prix</w:t>
        </w:r>
      </w:hyperlink>
      <w:r w:rsidRPr="0087278F">
        <w:rPr>
          <w:sz w:val="18"/>
        </w:rPr>
        <w:t xml:space="preserve"> (chapitre 5).</w:t>
      </w:r>
    </w:p>
    <w:p w14:paraId="5FD37234" w14:textId="6B262556" w:rsidR="00481725" w:rsidRDefault="00481725" w:rsidP="00481725">
      <w:pPr>
        <w:spacing w:before="240" w:after="120"/>
        <w:jc w:val="both"/>
      </w:pPr>
      <w:r>
        <w:t>L</w:t>
      </w:r>
      <w:r w:rsidRPr="000F46EB">
        <w:t>e</w:t>
      </w:r>
      <w:r>
        <w:t xml:space="preserve"> recours au</w:t>
      </w:r>
      <w:r w:rsidRPr="000F46EB">
        <w:t xml:space="preserve"> </w:t>
      </w:r>
      <w:r w:rsidRPr="008633E3">
        <w:rPr>
          <w:b/>
        </w:rPr>
        <w:t>coût de la prestation</w:t>
      </w:r>
      <w:r w:rsidRPr="000F46EB">
        <w:t xml:space="preserve"> </w:t>
      </w:r>
      <w:r>
        <w:t xml:space="preserve">peut être employé à la place du critère prix, car il est </w:t>
      </w:r>
      <w:r w:rsidRPr="000F46EB">
        <w:t xml:space="preserve">déterminé selon une </w:t>
      </w:r>
      <w:r w:rsidRPr="001A3860">
        <w:t>approche globale</w:t>
      </w:r>
      <w:r w:rsidRPr="000F46EB">
        <w:t xml:space="preserve"> qui peut être fondée sur le coût du cycle de vie</w:t>
      </w:r>
      <w:r>
        <w:t>, correspondant à</w:t>
      </w:r>
      <w:r w:rsidRPr="00702535">
        <w:t xml:space="preserve"> l’ensemble des étapes successives et interdépendantes tout au long de la vie d’un produit, d’un ouvrage ou d’un service</w:t>
      </w:r>
      <w:r>
        <w:rPr>
          <w:rStyle w:val="Appelnotedebasdep"/>
        </w:rPr>
        <w:footnoteReference w:id="18"/>
      </w:r>
      <w:r>
        <w:t xml:space="preserve">. </w:t>
      </w:r>
      <w:r w:rsidRPr="000F46EB">
        <w:t>Par le biais de cette approche globale, il est ainsi possible de prendre en compte l’ensemble des coûts générés par la prestation</w:t>
      </w:r>
      <w:r>
        <w:t xml:space="preserve"> dans la durée</w:t>
      </w:r>
      <w:r w:rsidRPr="000F46EB">
        <w:t>, et non pas se</w:t>
      </w:r>
      <w:r>
        <w:t xml:space="preserve">ulement son coût de production </w:t>
      </w:r>
      <w:r w:rsidR="00B42191">
        <w:t xml:space="preserve">initial </w:t>
      </w:r>
      <w:r w:rsidR="00DA5A7C">
        <w:t xml:space="preserve">ou d’exploitation </w:t>
      </w:r>
      <w:r>
        <w:t>(</w:t>
      </w:r>
      <w:r w:rsidRPr="000F46EB">
        <w:t>frais de maintenance</w:t>
      </w:r>
      <w:r>
        <w:t>, de recyclage, etc.)</w:t>
      </w:r>
      <w:r w:rsidRPr="000F46EB">
        <w:t xml:space="preserve">. </w:t>
      </w:r>
    </w:p>
    <w:p w14:paraId="113C5989" w14:textId="3A5FF78B" w:rsidR="00AF67E3" w:rsidRDefault="00AF67E3" w:rsidP="009D4552">
      <w:pPr>
        <w:spacing w:before="120" w:after="0"/>
        <w:jc w:val="both"/>
      </w:pPr>
      <w:r>
        <w:lastRenderedPageBreak/>
        <w:t xml:space="preserve">Concernant la </w:t>
      </w:r>
      <w:r w:rsidRPr="00AF67E3">
        <w:rPr>
          <w:b/>
        </w:rPr>
        <w:t>prise en compte du développement durable</w:t>
      </w:r>
      <w:r w:rsidR="003B7E62" w:rsidRPr="003B7E62">
        <w:t>,</w:t>
      </w:r>
      <w:r w:rsidR="003B7E62">
        <w:rPr>
          <w:b/>
        </w:rPr>
        <w:t xml:space="preserve"> </w:t>
      </w:r>
      <w:r w:rsidR="003B7E62" w:rsidRPr="003B7E62">
        <w:t>non pas au niveau de la définition du besoin mais de la notation</w:t>
      </w:r>
      <w:r w:rsidR="00F10D46" w:rsidRPr="003B7E62">
        <w:t xml:space="preserve">, </w:t>
      </w:r>
      <w:r w:rsidR="009D4552">
        <w:t>il convient de rappeler que les considérations sociales et environnementales doivent être en lien avec l’objet du marché</w:t>
      </w:r>
      <w:r w:rsidR="009D4552" w:rsidRPr="003B7E62">
        <w:t xml:space="preserve"> </w:t>
      </w:r>
      <w:r w:rsidR="00EA68BD">
        <w:t xml:space="preserve">et que </w:t>
      </w:r>
      <w:r w:rsidR="00F10D46" w:rsidRPr="003B7E62">
        <w:t>les critères d’attrib</w:t>
      </w:r>
      <w:r w:rsidR="00F10D46">
        <w:t xml:space="preserve">ution </w:t>
      </w:r>
      <w:r w:rsidR="00CA6915">
        <w:t xml:space="preserve">ne peuvent </w:t>
      </w:r>
      <w:r w:rsidR="003B7E62">
        <w:t xml:space="preserve">pas </w:t>
      </w:r>
      <w:r w:rsidR="00CA6915">
        <w:t>prendre en compte la responsabilité sociale des entreprises (RSE) d’un point de vue général,</w:t>
      </w:r>
      <w:r w:rsidR="009D4552">
        <w:t xml:space="preserve"> </w:t>
      </w:r>
      <w:r w:rsidR="003B7E62">
        <w:t>selon une jurisprudence constante</w:t>
      </w:r>
      <w:r w:rsidR="003B7E62">
        <w:rPr>
          <w:rStyle w:val="Appelnotedebasdep"/>
        </w:rPr>
        <w:footnoteReference w:id="19"/>
      </w:r>
      <w:r w:rsidR="003B7E62">
        <w:t>.</w:t>
      </w:r>
    </w:p>
    <w:p w14:paraId="36CF2F6C" w14:textId="0E22FBB0" w:rsidR="00833B57" w:rsidRDefault="00FA4324" w:rsidP="009D4552">
      <w:pPr>
        <w:shd w:val="clear" w:color="auto" w:fill="FFFFFF" w:themeFill="background1"/>
        <w:spacing w:before="60" w:after="60"/>
        <w:jc w:val="both"/>
      </w:pPr>
      <w:r>
        <w:t>Exemples </w:t>
      </w:r>
      <w:r w:rsidR="009D4552">
        <w:t xml:space="preserve">de critères </w:t>
      </w:r>
      <w:r w:rsidR="001E1BD7" w:rsidRPr="00F623DE">
        <w:t>en matière environnementale : réduction des émissions de CO2 des véhicules utilisés dans le cadre du marché</w:t>
      </w:r>
      <w:r w:rsidR="00627A63">
        <w:rPr>
          <w:rStyle w:val="Appelnotedebasdep"/>
        </w:rPr>
        <w:footnoteReference w:id="20"/>
      </w:r>
      <w:r w:rsidR="001E1BD7" w:rsidRPr="00F623DE">
        <w:t xml:space="preserve">, valorisation et recyclage des déchets issus de l’exécution du marché, innovation en matière de procédés, produits et matériaux favorables à </w:t>
      </w:r>
      <w:r w:rsidR="001E1BD7" w:rsidRPr="00627A63">
        <w:t xml:space="preserve">l’environnement </w:t>
      </w:r>
      <w:r w:rsidR="00627A63" w:rsidRPr="00627A63">
        <w:t>(ex : certains produits biosourcés…)</w:t>
      </w:r>
      <w:r w:rsidR="00627A63" w:rsidRPr="00627A63">
        <w:t xml:space="preserve"> </w:t>
      </w:r>
      <w:r w:rsidR="001E1BD7" w:rsidRPr="00627A63">
        <w:t xml:space="preserve">utilisés </w:t>
      </w:r>
      <w:r w:rsidR="001E1BD7" w:rsidRPr="00F623DE">
        <w:t>pour l’exécution du marché</w:t>
      </w:r>
      <w:r w:rsidR="00627A63">
        <w:t>, etc</w:t>
      </w:r>
      <w:r w:rsidR="001E1BD7" w:rsidRPr="00F623DE">
        <w:t>.</w:t>
      </w:r>
      <w:r>
        <w:t xml:space="preserve"> </w:t>
      </w:r>
    </w:p>
    <w:p w14:paraId="47290E10" w14:textId="58B9B4EC" w:rsidR="00050796" w:rsidRDefault="00FA4324" w:rsidP="009D4552">
      <w:pPr>
        <w:shd w:val="clear" w:color="auto" w:fill="FFFFFF" w:themeFill="background1"/>
        <w:spacing w:before="60" w:after="60"/>
        <w:jc w:val="both"/>
      </w:pPr>
      <w:r>
        <w:t>En matière sociale</w:t>
      </w:r>
      <w:r w:rsidR="00EA68BD">
        <w:t xml:space="preserve"> : </w:t>
      </w:r>
      <w:r w:rsidR="003A4F2D" w:rsidRPr="003A4F2D">
        <w:t>performance en matière d'insertion professionnelle des publics en difficulté</w:t>
      </w:r>
      <w:r w:rsidR="00EA68BD">
        <w:t xml:space="preserve"> </w:t>
      </w:r>
      <w:r w:rsidR="001E1BD7" w:rsidRPr="00F623DE">
        <w:t>qui concourent à l’exécution du marché.</w:t>
      </w:r>
    </w:p>
    <w:p w14:paraId="4D0F8BA4" w14:textId="77777777" w:rsidR="003D2592" w:rsidRDefault="003D2592" w:rsidP="003D2592">
      <w:pPr>
        <w:spacing w:before="120" w:after="60"/>
        <w:jc w:val="both"/>
      </w:pPr>
      <w:r>
        <w:t>Afin de faciliter la constitution du dossier par les entreprises et éviter des demandes complémentaires, l</w:t>
      </w:r>
      <w:r w:rsidRPr="00D55A4C">
        <w:t xml:space="preserve">es </w:t>
      </w:r>
      <w:r w:rsidRPr="002E0B31">
        <w:rPr>
          <w:b/>
        </w:rPr>
        <w:t>documents sollicités</w:t>
      </w:r>
      <w:r w:rsidRPr="00D55A4C">
        <w:t xml:space="preserve"> auprès des candidats et cont</w:t>
      </w:r>
      <w:r>
        <w:t xml:space="preserve">ribuant à l’analyse des offres </w:t>
      </w:r>
      <w:r w:rsidRPr="00D55A4C">
        <w:t>doivent être clairement définis</w:t>
      </w:r>
      <w:r>
        <w:t xml:space="preserve"> par les acheteurs</w:t>
      </w:r>
      <w:r w:rsidRPr="00D55A4C">
        <w:t xml:space="preserve">. </w:t>
      </w:r>
    </w:p>
    <w:p w14:paraId="074216B5" w14:textId="1E4789ED" w:rsidR="003D2592" w:rsidRDefault="003D2592" w:rsidP="003D2592">
      <w:pPr>
        <w:spacing w:before="120" w:after="60"/>
        <w:jc w:val="both"/>
      </w:pPr>
      <w:r w:rsidRPr="006D739D">
        <w:rPr>
          <w:noProof/>
          <w:lang w:eastAsia="fr-FR"/>
        </w:rPr>
        <w:drawing>
          <wp:anchor distT="0" distB="0" distL="114300" distR="114300" simplePos="0" relativeHeight="251837440" behindDoc="0" locked="0" layoutInCell="1" allowOverlap="1" wp14:anchorId="0D6DD069" wp14:editId="48E0F787">
            <wp:simplePos x="0" y="0"/>
            <wp:positionH relativeFrom="margin">
              <wp:align>left</wp:align>
            </wp:positionH>
            <wp:positionV relativeFrom="paragraph">
              <wp:posOffset>51445</wp:posOffset>
            </wp:positionV>
            <wp:extent cx="340995" cy="309245"/>
            <wp:effectExtent l="0" t="0" r="1905" b="0"/>
            <wp:wrapSquare wrapText="bothSides"/>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40995" cy="309245"/>
                    </a:xfrm>
                    <a:prstGeom prst="rect">
                      <a:avLst/>
                    </a:prstGeom>
                  </pic:spPr>
                </pic:pic>
              </a:graphicData>
            </a:graphic>
            <wp14:sizeRelH relativeFrom="page">
              <wp14:pctWidth>0</wp14:pctWidth>
            </wp14:sizeRelH>
            <wp14:sizeRelV relativeFrom="page">
              <wp14:pctHeight>0</wp14:pctHeight>
            </wp14:sizeRelV>
          </wp:anchor>
        </w:drawing>
      </w:r>
      <w:r>
        <w:t xml:space="preserve">Une bonne pratique peut aussi être de déterminer un </w:t>
      </w:r>
      <w:r w:rsidRPr="00306E98">
        <w:rPr>
          <w:b/>
        </w:rPr>
        <w:t>cadre de mémoire technique</w:t>
      </w:r>
      <w:r>
        <w:rPr>
          <w:b/>
        </w:rPr>
        <w:t xml:space="preserve"> </w:t>
      </w:r>
      <w:r w:rsidRPr="00306E98">
        <w:t xml:space="preserve">détaillant les sous-rubriques à </w:t>
      </w:r>
      <w:r>
        <w:t xml:space="preserve">renseigner, </w:t>
      </w:r>
      <w:r w:rsidR="00FB6B49">
        <w:t xml:space="preserve">le nombre maximal de pages, etc. </w:t>
      </w:r>
      <w:r w:rsidRPr="00306E98">
        <w:t>ce qui facilitera également leur comparaison par l’acheteur.</w:t>
      </w:r>
      <w:r>
        <w:rPr>
          <w:b/>
        </w:rPr>
        <w:t xml:space="preserve"> </w:t>
      </w:r>
    </w:p>
    <w:p w14:paraId="1F200066" w14:textId="4C2B05ED" w:rsidR="0007790D" w:rsidRDefault="0007790D" w:rsidP="009D402B">
      <w:pPr>
        <w:pStyle w:val="Titre3"/>
        <w:spacing w:before="240" w:after="180"/>
      </w:pPr>
      <w:bookmarkStart w:id="22" w:name="_Toc7425931"/>
      <w:r>
        <w:t>Phase d’analyse des offres</w:t>
      </w:r>
      <w:r w:rsidR="00FC3181">
        <w:t xml:space="preserve"> et régularisation</w:t>
      </w:r>
      <w:bookmarkEnd w:id="22"/>
    </w:p>
    <w:p w14:paraId="7F5702C6" w14:textId="77777777" w:rsidR="00CD6FA7" w:rsidRPr="00CD6FA7" w:rsidRDefault="00CD6FA7" w:rsidP="00AF67E3">
      <w:pPr>
        <w:spacing w:after="120"/>
        <w:jc w:val="both"/>
      </w:pPr>
      <w:r w:rsidRPr="00CD6FA7">
        <w:t>Pour pouvoir être classées, les offres ne doivent pas présenter les caractéristiques d’une offre irrégulière, inacceptable ou inappropriée</w:t>
      </w:r>
      <w:r w:rsidRPr="00CD6FA7">
        <w:rPr>
          <w:vertAlign w:val="superscript"/>
        </w:rPr>
        <w:footnoteReference w:id="21"/>
      </w:r>
      <w:r w:rsidRPr="00CD6FA7">
        <w:rPr>
          <w:vertAlign w:val="superscript"/>
        </w:rPr>
        <w:t> </w:t>
      </w:r>
      <w:r w:rsidRPr="00CD6FA7">
        <w:t xml:space="preserve">: </w:t>
      </w:r>
    </w:p>
    <w:tbl>
      <w:tblPr>
        <w:tblStyle w:val="Grilledutableau"/>
        <w:tblW w:w="0" w:type="auto"/>
        <w:tblInd w:w="817" w:type="dxa"/>
        <w:tblBorders>
          <w:top w:val="single" w:sz="12" w:space="0" w:color="5D2884"/>
          <w:left w:val="single" w:sz="12" w:space="0" w:color="5D2884"/>
          <w:bottom w:val="single" w:sz="12" w:space="0" w:color="5D2884"/>
          <w:right w:val="single" w:sz="12" w:space="0" w:color="5D2884"/>
          <w:insideH w:val="single" w:sz="12" w:space="0" w:color="5D2884"/>
          <w:insideV w:val="single" w:sz="12" w:space="0" w:color="5D2884"/>
        </w:tblBorders>
        <w:tblLook w:val="04A0" w:firstRow="1" w:lastRow="0" w:firstColumn="1" w:lastColumn="0" w:noHBand="0" w:noVBand="1"/>
      </w:tblPr>
      <w:tblGrid>
        <w:gridCol w:w="1701"/>
        <w:gridCol w:w="5812"/>
      </w:tblGrid>
      <w:tr w:rsidR="00CD6FA7" w14:paraId="35C838BB" w14:textId="77777777" w:rsidTr="001E1BD7">
        <w:tc>
          <w:tcPr>
            <w:tcW w:w="1701" w:type="dxa"/>
            <w:vAlign w:val="center"/>
          </w:tcPr>
          <w:p w14:paraId="1BDEC8CA" w14:textId="77777777" w:rsidR="00CD6FA7" w:rsidRPr="001E1BD7" w:rsidRDefault="00CD6FA7" w:rsidP="00AF67E3">
            <w:pPr>
              <w:spacing w:line="276" w:lineRule="auto"/>
              <w:jc w:val="center"/>
              <w:rPr>
                <w:rFonts w:eastAsia="Times New Roman" w:cs="Arial"/>
                <w:sz w:val="18"/>
                <w:szCs w:val="21"/>
                <w:lang w:eastAsia="fr-FR"/>
              </w:rPr>
            </w:pPr>
            <w:r w:rsidRPr="001E1BD7">
              <w:rPr>
                <w:rFonts w:eastAsia="Times New Roman" w:cs="Arial"/>
                <w:sz w:val="18"/>
                <w:szCs w:val="21"/>
                <w:lang w:eastAsia="fr-FR"/>
              </w:rPr>
              <w:t>offre</w:t>
            </w:r>
          </w:p>
          <w:p w14:paraId="4CC9B8C3" w14:textId="77777777" w:rsidR="00CD6FA7" w:rsidRPr="001E1BD7" w:rsidRDefault="00CD6FA7" w:rsidP="00AF67E3">
            <w:pPr>
              <w:spacing w:after="120" w:line="276" w:lineRule="auto"/>
              <w:jc w:val="center"/>
              <w:rPr>
                <w:rFonts w:eastAsia="Times New Roman" w:cs="Arial"/>
                <w:sz w:val="18"/>
                <w:szCs w:val="21"/>
                <w:lang w:eastAsia="fr-FR"/>
              </w:rPr>
            </w:pPr>
            <w:r w:rsidRPr="001E1BD7">
              <w:rPr>
                <w:rFonts w:eastAsia="Times New Roman" w:cs="Arial"/>
                <w:sz w:val="18"/>
                <w:szCs w:val="21"/>
                <w:lang w:eastAsia="fr-FR"/>
              </w:rPr>
              <w:t>irrégulière</w:t>
            </w:r>
          </w:p>
        </w:tc>
        <w:tc>
          <w:tcPr>
            <w:tcW w:w="5812" w:type="dxa"/>
          </w:tcPr>
          <w:p w14:paraId="71C1E056" w14:textId="77777777" w:rsidR="00CD6FA7" w:rsidRPr="001E1BD7" w:rsidRDefault="00CD6FA7" w:rsidP="00AF67E3">
            <w:pPr>
              <w:spacing w:after="60" w:line="276" w:lineRule="auto"/>
              <w:jc w:val="both"/>
              <w:rPr>
                <w:rFonts w:eastAsia="Times New Roman" w:cs="Arial"/>
                <w:sz w:val="18"/>
                <w:szCs w:val="21"/>
                <w:lang w:eastAsia="fr-FR"/>
              </w:rPr>
            </w:pPr>
            <w:r w:rsidRPr="001E1BD7">
              <w:rPr>
                <w:rFonts w:eastAsia="Times New Roman" w:cs="Arial"/>
                <w:sz w:val="18"/>
                <w:szCs w:val="21"/>
                <w:lang w:eastAsia="fr-FR"/>
              </w:rPr>
              <w:t>offre qui ne respecte pas les exigences formulées dans les documents de la consultation notamment parce qu'elle est incomplète, ou qui méconnaît la législation applicable, notamment en matière sociale et environnementale.</w:t>
            </w:r>
          </w:p>
        </w:tc>
      </w:tr>
      <w:tr w:rsidR="00CD6FA7" w14:paraId="6F1CCFD4" w14:textId="77777777" w:rsidTr="001E1BD7">
        <w:tc>
          <w:tcPr>
            <w:tcW w:w="1701" w:type="dxa"/>
            <w:vAlign w:val="center"/>
          </w:tcPr>
          <w:p w14:paraId="5D353094" w14:textId="77777777" w:rsidR="00CD6FA7" w:rsidRPr="001E1BD7" w:rsidRDefault="00CD6FA7" w:rsidP="00AF67E3">
            <w:pPr>
              <w:spacing w:after="120" w:line="276" w:lineRule="auto"/>
              <w:jc w:val="center"/>
              <w:rPr>
                <w:rFonts w:eastAsia="Times New Roman" w:cs="Arial"/>
                <w:sz w:val="18"/>
                <w:szCs w:val="21"/>
                <w:lang w:eastAsia="fr-FR"/>
              </w:rPr>
            </w:pPr>
            <w:r w:rsidRPr="001E1BD7">
              <w:rPr>
                <w:rFonts w:eastAsia="Times New Roman" w:cs="Arial"/>
                <w:sz w:val="18"/>
                <w:szCs w:val="21"/>
                <w:lang w:eastAsia="fr-FR"/>
              </w:rPr>
              <w:t>offre inacceptable</w:t>
            </w:r>
          </w:p>
        </w:tc>
        <w:tc>
          <w:tcPr>
            <w:tcW w:w="5812" w:type="dxa"/>
          </w:tcPr>
          <w:p w14:paraId="5C958504" w14:textId="77777777" w:rsidR="00CD6FA7" w:rsidRPr="001E1BD7" w:rsidRDefault="00CD6FA7" w:rsidP="00AF67E3">
            <w:pPr>
              <w:spacing w:after="60" w:line="276" w:lineRule="auto"/>
              <w:jc w:val="both"/>
              <w:rPr>
                <w:rFonts w:eastAsia="Times New Roman" w:cs="Arial"/>
                <w:sz w:val="18"/>
                <w:szCs w:val="21"/>
                <w:lang w:eastAsia="fr-FR"/>
              </w:rPr>
            </w:pPr>
            <w:r w:rsidRPr="001E1BD7">
              <w:rPr>
                <w:rFonts w:eastAsia="Times New Roman" w:cs="Arial"/>
                <w:sz w:val="18"/>
                <w:szCs w:val="21"/>
                <w:lang w:eastAsia="fr-FR"/>
              </w:rPr>
              <w:t>offre dont le prix excède les crédits budgétaires alloués au marché public tels qu'ils ont été déterminés et établis avant le lancement de la procédure.</w:t>
            </w:r>
          </w:p>
        </w:tc>
      </w:tr>
      <w:tr w:rsidR="00CD6FA7" w14:paraId="44D0E84B" w14:textId="77777777" w:rsidTr="001E1BD7">
        <w:tc>
          <w:tcPr>
            <w:tcW w:w="1701" w:type="dxa"/>
            <w:vAlign w:val="center"/>
          </w:tcPr>
          <w:p w14:paraId="3F5DEF01" w14:textId="77777777" w:rsidR="00CD6FA7" w:rsidRPr="001E1BD7" w:rsidRDefault="00CD6FA7" w:rsidP="00AF67E3">
            <w:pPr>
              <w:spacing w:after="120" w:line="276" w:lineRule="auto"/>
              <w:jc w:val="center"/>
              <w:rPr>
                <w:rFonts w:eastAsia="Times New Roman" w:cs="Arial"/>
                <w:sz w:val="18"/>
                <w:szCs w:val="21"/>
                <w:lang w:eastAsia="fr-FR"/>
              </w:rPr>
            </w:pPr>
            <w:r w:rsidRPr="001E1BD7">
              <w:rPr>
                <w:rFonts w:eastAsia="Times New Roman" w:cs="Arial"/>
                <w:sz w:val="18"/>
                <w:szCs w:val="21"/>
                <w:lang w:eastAsia="fr-FR"/>
              </w:rPr>
              <w:t>offre inappropriée</w:t>
            </w:r>
          </w:p>
        </w:tc>
        <w:tc>
          <w:tcPr>
            <w:tcW w:w="5812" w:type="dxa"/>
          </w:tcPr>
          <w:p w14:paraId="11A6BDED" w14:textId="31794455" w:rsidR="00CD6FA7" w:rsidRPr="001E1BD7" w:rsidRDefault="00CD6FA7" w:rsidP="00AF67E3">
            <w:pPr>
              <w:spacing w:after="60" w:line="276" w:lineRule="auto"/>
              <w:jc w:val="both"/>
              <w:rPr>
                <w:rFonts w:eastAsia="Times New Roman" w:cs="Arial"/>
                <w:sz w:val="18"/>
                <w:szCs w:val="21"/>
                <w:lang w:eastAsia="fr-FR"/>
              </w:rPr>
            </w:pPr>
            <w:r w:rsidRPr="001E1BD7">
              <w:rPr>
                <w:rFonts w:eastAsia="Times New Roman" w:cs="Arial"/>
                <w:sz w:val="18"/>
                <w:szCs w:val="21"/>
                <w:lang w:eastAsia="fr-FR"/>
              </w:rPr>
              <w:t>offre sans rapport avec le marché public parce qu'elle n'est manifestement pas en mesure, sans modification substantielle, de répondre au besoin et aux exigences de l'acheteur formulées dans les documents de la consultation.</w:t>
            </w:r>
          </w:p>
        </w:tc>
      </w:tr>
    </w:tbl>
    <w:p w14:paraId="29E9DA2A" w14:textId="17AD581E" w:rsidR="00CD6FA7" w:rsidRPr="00833B57" w:rsidRDefault="00CD6FA7" w:rsidP="00A02CCA">
      <w:pPr>
        <w:spacing w:before="180" w:after="120"/>
        <w:jc w:val="both"/>
      </w:pPr>
      <w:r>
        <w:t xml:space="preserve">Seules les offres irrégulières (à l’exception de celles qui sont anormalement basses) peuvent faire l’objet d’une </w:t>
      </w:r>
      <w:r w:rsidRPr="006E4A8D">
        <w:rPr>
          <w:b/>
        </w:rPr>
        <w:t>potentielle</w:t>
      </w:r>
      <w:r>
        <w:t xml:space="preserve"> </w:t>
      </w:r>
      <w:r w:rsidRPr="00CD6FA7">
        <w:rPr>
          <w:b/>
        </w:rPr>
        <w:t>régularisation</w:t>
      </w:r>
      <w:r w:rsidR="00C94BC7">
        <w:rPr>
          <w:rStyle w:val="Appelnotedebasdep"/>
          <w:b/>
        </w:rPr>
        <w:footnoteReference w:id="22"/>
      </w:r>
      <w:r>
        <w:t xml:space="preserve">. </w:t>
      </w:r>
      <w:r w:rsidRPr="00833B57">
        <w:rPr>
          <w:color w:val="000000" w:themeColor="text1"/>
        </w:rPr>
        <w:t xml:space="preserve">Les décrets n’imposent pas aux acheteurs de demander aux candidats de régulariser leur dossier ; il s’agit donc d’une simple faculté. </w:t>
      </w:r>
    </w:p>
    <w:p w14:paraId="2697CFEC" w14:textId="77777777" w:rsidR="00833B57" w:rsidRDefault="00CD6FA7" w:rsidP="00CA0ED8">
      <w:pPr>
        <w:spacing w:after="0"/>
        <w:jc w:val="both"/>
      </w:pPr>
      <w:r>
        <w:t>Si l’acheteur utilise cette faculté, il adresse alors une demande à tous les candidats concernés, en leur indiquant précisément la liste des documents à modifier/compléter dans un délai approprié et dans le respect du pri</w:t>
      </w:r>
      <w:r w:rsidR="006E4A8D">
        <w:t xml:space="preserve">ncipe d’égalité de traitement. </w:t>
      </w:r>
    </w:p>
    <w:p w14:paraId="53FA6B0E" w14:textId="6429BF7D" w:rsidR="00CA0ED8" w:rsidRDefault="00CD6FA7" w:rsidP="00ED57C0">
      <w:pPr>
        <w:pStyle w:val="Encart"/>
        <w:spacing w:before="120" w:line="276" w:lineRule="auto"/>
      </w:pPr>
      <w:r>
        <w:t xml:space="preserve">La régularisation ne doit pas conduire à modifier les caractéristiques substantielles des offres, mais sert à corriger des erreurs matérielles </w:t>
      </w:r>
      <w:bookmarkStart w:id="23" w:name="_Toc2867181"/>
      <w:r w:rsidR="00833B57">
        <w:t>ou à palier des oublis mineurs.</w:t>
      </w:r>
      <w:r w:rsidR="00627A63">
        <w:t xml:space="preserve"> </w:t>
      </w:r>
      <w:r w:rsidR="00627A63" w:rsidRPr="00627A63">
        <w:rPr>
          <w:highlight w:val="yellow"/>
        </w:rPr>
        <w:t>Exemples ?</w:t>
      </w:r>
      <w:r w:rsidR="00627A63">
        <w:t xml:space="preserve"> </w:t>
      </w:r>
    </w:p>
    <w:p w14:paraId="0D3DFE03" w14:textId="3FDC499D" w:rsidR="000D3C07" w:rsidRDefault="00453C04" w:rsidP="00AF67E3">
      <w:pPr>
        <w:pStyle w:val="Titre1"/>
        <w:spacing w:after="240"/>
      </w:pPr>
      <w:bookmarkStart w:id="24" w:name="_Toc7425932"/>
      <w:r>
        <w:lastRenderedPageBreak/>
        <w:t xml:space="preserve">Fiche 5 : </w:t>
      </w:r>
      <w:r w:rsidR="0062407E">
        <w:t>Promouvoir les v</w:t>
      </w:r>
      <w:r w:rsidR="000D3C07">
        <w:t>ariantes</w:t>
      </w:r>
      <w:bookmarkEnd w:id="23"/>
      <w:bookmarkEnd w:id="24"/>
    </w:p>
    <w:p w14:paraId="7D0748C9" w14:textId="7B07D5AC" w:rsidR="00B20046" w:rsidRPr="00B20046" w:rsidRDefault="00B20046" w:rsidP="00B20046">
      <w:pPr>
        <w:spacing w:after="60"/>
        <w:jc w:val="both"/>
        <w:rPr>
          <w:bCs/>
        </w:rPr>
      </w:pPr>
      <w:r w:rsidRPr="00B20046">
        <w:rPr>
          <w:bCs/>
        </w:rPr>
        <w:t xml:space="preserve">Le terme de variante correspond à une </w:t>
      </w:r>
      <w:r w:rsidRPr="00B20046">
        <w:rPr>
          <w:b/>
          <w:bCs/>
        </w:rPr>
        <w:t>modification</w:t>
      </w:r>
      <w:r w:rsidRPr="00B20046">
        <w:rPr>
          <w:bCs/>
        </w:rPr>
        <w:t xml:space="preserve"> des spécifications techniques </w:t>
      </w:r>
      <w:r w:rsidRPr="00B20046">
        <w:rPr>
          <w:b/>
          <w:bCs/>
        </w:rPr>
        <w:t>de la solution de base</w:t>
      </w:r>
      <w:r w:rsidR="0068600F" w:rsidRPr="0068600F">
        <w:rPr>
          <w:bCs/>
        </w:rPr>
        <w:t>, tout en satisfaisant le besoin conformément au cahier des charges</w:t>
      </w:r>
      <w:r w:rsidRPr="00B20046">
        <w:rPr>
          <w:bCs/>
        </w:rPr>
        <w:t>. Il sert en fait à désigner</w:t>
      </w:r>
      <w:r w:rsidR="00557A5D">
        <w:rPr>
          <w:bCs/>
        </w:rPr>
        <w:t xml:space="preserve"> </w:t>
      </w:r>
      <w:r w:rsidRPr="00B20046">
        <w:rPr>
          <w:bCs/>
        </w:rPr>
        <w:t>:</w:t>
      </w:r>
    </w:p>
    <w:p w14:paraId="690275AC" w14:textId="5AD3E1FF" w:rsidR="00B20046" w:rsidRDefault="00B20046" w:rsidP="00B20046">
      <w:pPr>
        <w:pStyle w:val="Paragraphedeliste"/>
        <w:numPr>
          <w:ilvl w:val="0"/>
          <w:numId w:val="40"/>
        </w:numPr>
        <w:spacing w:before="60" w:after="120"/>
        <w:jc w:val="both"/>
        <w:rPr>
          <w:bCs/>
        </w:rPr>
      </w:pPr>
      <w:r w:rsidRPr="00B20046">
        <w:rPr>
          <w:bCs/>
        </w:rPr>
        <w:t>les variantes à l’initiative des soumissionnaires, définies par la jurisprudence comme « des modifications, à l’initiative des candidats, de spécifications prévues dans la solution de base décrite dans les documents de la consultation »</w:t>
      </w:r>
      <w:r>
        <w:rPr>
          <w:bCs/>
        </w:rPr>
        <w:t xml:space="preserve"> </w:t>
      </w:r>
      <w:r w:rsidRPr="00B20046">
        <w:rPr>
          <w:bCs/>
        </w:rPr>
        <w:t>;</w:t>
      </w:r>
    </w:p>
    <w:p w14:paraId="20BB042B" w14:textId="2AEF1CCF" w:rsidR="00B20046" w:rsidRPr="00B20046" w:rsidRDefault="00B20046" w:rsidP="00B20046">
      <w:pPr>
        <w:pStyle w:val="Paragraphedeliste"/>
        <w:numPr>
          <w:ilvl w:val="0"/>
          <w:numId w:val="40"/>
        </w:numPr>
        <w:spacing w:after="120"/>
        <w:jc w:val="both"/>
        <w:rPr>
          <w:bCs/>
        </w:rPr>
      </w:pPr>
      <w:r w:rsidRPr="00B20046">
        <w:rPr>
          <w:bCs/>
        </w:rPr>
        <w:t>les variantes imposées par les acheteurs, qui peuvent définir précisément ou non la variante attendue</w:t>
      </w:r>
      <w:r w:rsidR="00711A66">
        <w:rPr>
          <w:bCs/>
        </w:rPr>
        <w:t xml:space="preserve"> (ex : éléments techniques sur lesquels doit porter la variante)</w:t>
      </w:r>
      <w:r w:rsidRPr="00B20046">
        <w:rPr>
          <w:bCs/>
        </w:rPr>
        <w:t>.</w:t>
      </w:r>
    </w:p>
    <w:p w14:paraId="0D91DABE" w14:textId="77777777" w:rsidR="00B20046" w:rsidRDefault="00B20046" w:rsidP="00B20046">
      <w:pPr>
        <w:spacing w:after="120"/>
        <w:jc w:val="both"/>
        <w:rPr>
          <w:bCs/>
        </w:rPr>
      </w:pPr>
      <w:r w:rsidRPr="00B20046">
        <w:rPr>
          <w:bCs/>
        </w:rPr>
        <w:t xml:space="preserve">Le fait qu’un opérateur économique propose une alternative à la solution envisagée par l’acheteur ne signifie pas que sa proposition sera totalement divergente ; elle peut varier seulement sur quelques aspects (ex : emploi de nouveaux matériaux …). </w:t>
      </w:r>
    </w:p>
    <w:p w14:paraId="31104BE3" w14:textId="0A48AB59" w:rsidR="00B20046" w:rsidRDefault="00266C00" w:rsidP="00B20046">
      <w:pPr>
        <w:spacing w:after="120"/>
        <w:jc w:val="both"/>
        <w:rPr>
          <w:bCs/>
          <w:highlight w:val="yellow"/>
        </w:rPr>
      </w:pPr>
      <w:r>
        <w:rPr>
          <w:bCs/>
        </w:rPr>
        <w:t>L</w:t>
      </w:r>
      <w:r w:rsidR="00B20046" w:rsidRPr="00B20046">
        <w:rPr>
          <w:bCs/>
        </w:rPr>
        <w:t xml:space="preserve">es variantes permettent, d’une part, aux entreprises de faire valoir leur </w:t>
      </w:r>
      <w:r w:rsidR="00B20046" w:rsidRPr="00266C00">
        <w:rPr>
          <w:b/>
          <w:bCs/>
        </w:rPr>
        <w:t>savoir-faire</w:t>
      </w:r>
      <w:r w:rsidR="00B20046" w:rsidRPr="00B20046">
        <w:rPr>
          <w:bCs/>
        </w:rPr>
        <w:t xml:space="preserve"> et leur capacité d’innovation et, d’autre part, aux administrations d’optimiser la réponse à leurs besoins par des </w:t>
      </w:r>
      <w:r w:rsidR="00B20046" w:rsidRPr="00B20046">
        <w:rPr>
          <w:b/>
          <w:bCs/>
        </w:rPr>
        <w:t>procédés alternatifs plus performants</w:t>
      </w:r>
      <w:r w:rsidR="00B20046" w:rsidRPr="00B20046">
        <w:rPr>
          <w:bCs/>
        </w:rPr>
        <w:t>, qui n’</w:t>
      </w:r>
      <w:r>
        <w:rPr>
          <w:bCs/>
        </w:rPr>
        <w:t xml:space="preserve">ont </w:t>
      </w:r>
      <w:r w:rsidR="00B20046" w:rsidRPr="00B20046">
        <w:rPr>
          <w:bCs/>
        </w:rPr>
        <w:t xml:space="preserve">pas nécessairement été envisagés au départ (en particulier dans les domaines </w:t>
      </w:r>
      <w:r>
        <w:rPr>
          <w:bCs/>
        </w:rPr>
        <w:t>évolutifs).</w:t>
      </w:r>
    </w:p>
    <w:p w14:paraId="103350D5" w14:textId="1EFCB081" w:rsidR="00266C00" w:rsidRDefault="00266C00" w:rsidP="00B77647">
      <w:pPr>
        <w:spacing w:after="0"/>
        <w:jc w:val="both"/>
        <w:rPr>
          <w:iCs/>
        </w:rPr>
      </w:pPr>
      <w:r w:rsidRPr="00266C00">
        <w:rPr>
          <w:iCs/>
        </w:rPr>
        <w:t>La variante prend tout son sens lorsque l’acheteur n’a pas été en mesure de réaliser un sourcing approfondi et/ou qu’il a rédigé un cahier des charges très précis prescrivant une solution particulière, au lieu de</w:t>
      </w:r>
      <w:r w:rsidR="00244274">
        <w:rPr>
          <w:iCs/>
        </w:rPr>
        <w:t xml:space="preserve"> décrire seulement le</w:t>
      </w:r>
      <w:r w:rsidRPr="00266C00">
        <w:rPr>
          <w:iCs/>
        </w:rPr>
        <w:t xml:space="preserve"> résultat à atteindre. Elle est d’autant plus utile que l’acheteur dispose de moyens contraints en amont de la procédure et constitue un « filet de sécurité » pour permettre aux entreprises de présenter la réponse la plus adaptée au besoin. </w:t>
      </w:r>
    </w:p>
    <w:p w14:paraId="1FDF3849" w14:textId="1BB0B407" w:rsidR="005C7ABD" w:rsidRDefault="00CB76DD" w:rsidP="00B77647">
      <w:pPr>
        <w:spacing w:after="0"/>
        <w:jc w:val="both"/>
        <w:rPr>
          <w:iCs/>
        </w:rPr>
      </w:pPr>
      <w:r>
        <w:rPr>
          <w:iCs/>
        </w:rPr>
        <w:t>Pour mémoire, l</w:t>
      </w:r>
      <w:r w:rsidR="004C2CB6">
        <w:rPr>
          <w:iCs/>
        </w:rPr>
        <w:t xml:space="preserve">es variantes </w:t>
      </w:r>
      <w:r w:rsidR="005C7ABD" w:rsidRPr="0083248A">
        <w:rPr>
          <w:iCs/>
        </w:rPr>
        <w:t xml:space="preserve">se distinguent </w:t>
      </w:r>
      <w:r w:rsidR="0083248A" w:rsidRPr="0083248A">
        <w:rPr>
          <w:iCs/>
        </w:rPr>
        <w:t>des prestations supplémentaires éventuelles (PSE) et des options :</w:t>
      </w:r>
    </w:p>
    <w:p w14:paraId="776A371B" w14:textId="0C8FE87F" w:rsidR="0083248A" w:rsidRPr="0083248A" w:rsidRDefault="00266C00" w:rsidP="007043FC">
      <w:pPr>
        <w:spacing w:after="120"/>
        <w:ind w:left="3540" w:hanging="2973"/>
        <w:jc w:val="center"/>
        <w:rPr>
          <w:iCs/>
        </w:rPr>
      </w:pPr>
      <w:r>
        <w:rPr>
          <w:iCs/>
          <w:noProof/>
          <w:lang w:eastAsia="fr-FR"/>
        </w:rPr>
        <w:drawing>
          <wp:inline distT="0" distB="0" distL="0" distR="0" wp14:anchorId="07D7123A" wp14:editId="60E2F67D">
            <wp:extent cx="4747260" cy="1518202"/>
            <wp:effectExtent l="38100" t="19050" r="15240" b="25400"/>
            <wp:docPr id="67" name="Diagramme 6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p>
    <w:p w14:paraId="3EA51699" w14:textId="28708002" w:rsidR="00B9199C" w:rsidRDefault="00B9199C" w:rsidP="007B4F5A">
      <w:pPr>
        <w:spacing w:after="60"/>
        <w:jc w:val="both"/>
        <w:rPr>
          <w:iCs/>
        </w:rPr>
      </w:pPr>
      <w:r w:rsidRPr="002B6AA7">
        <w:rPr>
          <w:iCs/>
        </w:rPr>
        <w:t xml:space="preserve">L’article </w:t>
      </w:r>
      <w:r w:rsidR="002B6AA7" w:rsidRPr="002B6AA7">
        <w:t>R</w:t>
      </w:r>
      <w:r w:rsidR="00691B62">
        <w:t>.</w:t>
      </w:r>
      <w:r w:rsidR="002B6AA7" w:rsidRPr="002B6AA7">
        <w:t xml:space="preserve"> 2151-8</w:t>
      </w:r>
      <w:r w:rsidR="002B6AA7" w:rsidRPr="002B6AA7">
        <w:rPr>
          <w:iCs/>
        </w:rPr>
        <w:t xml:space="preserve"> </w:t>
      </w:r>
      <w:r w:rsidR="002B6AA7">
        <w:rPr>
          <w:iCs/>
        </w:rPr>
        <w:t xml:space="preserve">(et suivants) </w:t>
      </w:r>
      <w:r w:rsidR="002B6AA7" w:rsidRPr="002B6AA7">
        <w:rPr>
          <w:iCs/>
        </w:rPr>
        <w:t>du CCP</w:t>
      </w:r>
      <w:r w:rsidR="002B6AA7">
        <w:rPr>
          <w:iCs/>
        </w:rPr>
        <w:t xml:space="preserve"> indique les modalités d’autorisation ou d’interdiction des variantes selon la procédure employée</w:t>
      </w:r>
      <w:r w:rsidR="004068C2">
        <w:rPr>
          <w:iCs/>
        </w:rPr>
        <w:t xml:space="preserve"> et le type d’acheteur</w:t>
      </w:r>
      <w:r>
        <w:rPr>
          <w:iCs/>
        </w:rPr>
        <w:t> :</w:t>
      </w:r>
    </w:p>
    <w:p w14:paraId="5E60C3D9" w14:textId="2696AF55" w:rsidR="00B9199C" w:rsidRDefault="00B9199C" w:rsidP="00B9199C">
      <w:pPr>
        <w:jc w:val="center"/>
        <w:rPr>
          <w:u w:val="single"/>
        </w:rPr>
      </w:pPr>
      <w:r w:rsidRPr="00D8646F">
        <w:rPr>
          <w:noProof/>
          <w:lang w:eastAsia="fr-FR"/>
        </w:rPr>
        <w:drawing>
          <wp:inline distT="0" distB="0" distL="0" distR="0" wp14:anchorId="4B0EE273" wp14:editId="36E9E9D1">
            <wp:extent cx="3665220" cy="2250219"/>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705868" cy="2275175"/>
                    </a:xfrm>
                    <a:prstGeom prst="rect">
                      <a:avLst/>
                    </a:prstGeom>
                    <a:noFill/>
                    <a:ln>
                      <a:noFill/>
                    </a:ln>
                  </pic:spPr>
                </pic:pic>
              </a:graphicData>
            </a:graphic>
          </wp:inline>
        </w:drawing>
      </w:r>
    </w:p>
    <w:p w14:paraId="23B6924C" w14:textId="4D6AFF59" w:rsidR="00337FA7" w:rsidRPr="00337FA7" w:rsidRDefault="00337FA7" w:rsidP="00337FA7">
      <w:pPr>
        <w:spacing w:before="240" w:after="0"/>
        <w:jc w:val="both"/>
        <w:rPr>
          <w:iCs/>
        </w:rPr>
      </w:pPr>
      <w:r w:rsidRPr="00337FA7">
        <w:rPr>
          <w:iCs/>
        </w:rPr>
        <w:lastRenderedPageBreak/>
        <w:t>Sauf exigence contraire</w:t>
      </w:r>
      <w:r w:rsidR="009F6768">
        <w:rPr>
          <w:iCs/>
        </w:rPr>
        <w:t xml:space="preserve"> explicite</w:t>
      </w:r>
      <w:r w:rsidRPr="00337FA7">
        <w:rPr>
          <w:iCs/>
        </w:rPr>
        <w:t xml:space="preserve">, les variantes peuvent être </w:t>
      </w:r>
      <w:r>
        <w:rPr>
          <w:iCs/>
        </w:rPr>
        <w:t xml:space="preserve">déposées seules, </w:t>
      </w:r>
      <w:r w:rsidRPr="00A94064">
        <w:rPr>
          <w:b/>
          <w:iCs/>
        </w:rPr>
        <w:t>sans une offre conforme à la solution de base</w:t>
      </w:r>
      <w:r w:rsidRPr="00337FA7">
        <w:rPr>
          <w:iCs/>
        </w:rPr>
        <w:t xml:space="preserve">. Cette disposition </w:t>
      </w:r>
      <w:r w:rsidR="009F6768">
        <w:rPr>
          <w:iCs/>
        </w:rPr>
        <w:t>a pour objectif d’élargir</w:t>
      </w:r>
      <w:r w:rsidRPr="00337FA7">
        <w:rPr>
          <w:iCs/>
        </w:rPr>
        <w:t xml:space="preserve"> l’accès à la commande publique </w:t>
      </w:r>
      <w:r w:rsidR="008B0031">
        <w:rPr>
          <w:iCs/>
        </w:rPr>
        <w:t xml:space="preserve">notamment </w:t>
      </w:r>
      <w:r w:rsidRPr="00337FA7">
        <w:rPr>
          <w:iCs/>
        </w:rPr>
        <w:t xml:space="preserve">des PME innovantes, qui n’ont pas forcément la capacité de proposer une offre de base, alors qu’elles peuvent proposer des solutions alternatives adaptées au besoin. </w:t>
      </w:r>
    </w:p>
    <w:p w14:paraId="3757E951" w14:textId="01C46BD1" w:rsidR="00337FA7" w:rsidRDefault="001B2930" w:rsidP="00337FA7">
      <w:pPr>
        <w:spacing w:before="120" w:after="0"/>
        <w:jc w:val="both"/>
        <w:rPr>
          <w:iCs/>
        </w:rPr>
      </w:pPr>
      <w:r w:rsidRPr="0083248A">
        <w:rPr>
          <w:iCs/>
          <w:noProof/>
          <w:lang w:eastAsia="fr-FR"/>
        </w:rPr>
        <w:drawing>
          <wp:anchor distT="0" distB="0" distL="114300" distR="114300" simplePos="0" relativeHeight="251719680" behindDoc="0" locked="0" layoutInCell="1" allowOverlap="1" wp14:anchorId="2D2D9CFA" wp14:editId="3518270D">
            <wp:simplePos x="0" y="0"/>
            <wp:positionH relativeFrom="margin">
              <wp:align>left</wp:align>
            </wp:positionH>
            <wp:positionV relativeFrom="paragraph">
              <wp:posOffset>79375</wp:posOffset>
            </wp:positionV>
            <wp:extent cx="337185" cy="337185"/>
            <wp:effectExtent l="0" t="0" r="5715" b="5715"/>
            <wp:wrapSquare wrapText="bothSides"/>
            <wp:docPr id="49" name="Image 49" descr="K:\1ESD\1C\COMMUN1C\11. Innovation\GT guide achats innovants\Projet de guide\Icônes\war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1ESD\1C\COMMUN1C\11. Innovation\GT guide achats innovants\Projet de guide\Icônes\warning.png"/>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37185" cy="337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7FA7" w:rsidRPr="00337FA7">
        <w:rPr>
          <w:iCs/>
        </w:rPr>
        <w:t>Il n’est donc pas recommandé d’exiger le dépôt d’une</w:t>
      </w:r>
      <w:r w:rsidR="00337FA7">
        <w:rPr>
          <w:iCs/>
        </w:rPr>
        <w:t xml:space="preserve"> offre de base</w:t>
      </w:r>
      <w:r w:rsidR="00337FA7" w:rsidRPr="00337FA7">
        <w:rPr>
          <w:iCs/>
        </w:rPr>
        <w:t>, dans une log</w:t>
      </w:r>
      <w:r w:rsidR="008D3F56">
        <w:rPr>
          <w:iCs/>
        </w:rPr>
        <w:t xml:space="preserve">ique d’allègement de la charge </w:t>
      </w:r>
      <w:r w:rsidR="00337FA7" w:rsidRPr="00337FA7">
        <w:rPr>
          <w:iCs/>
        </w:rPr>
        <w:t>des entreprises</w:t>
      </w:r>
      <w:r w:rsidR="00337FA7">
        <w:rPr>
          <w:iCs/>
        </w:rPr>
        <w:t xml:space="preserve"> (</w:t>
      </w:r>
      <w:r w:rsidR="0083248A">
        <w:rPr>
          <w:iCs/>
        </w:rPr>
        <w:t>éviter</w:t>
      </w:r>
      <w:r w:rsidR="00337FA7" w:rsidRPr="00337FA7">
        <w:rPr>
          <w:iCs/>
        </w:rPr>
        <w:t xml:space="preserve"> de préparer 2 offres</w:t>
      </w:r>
      <w:r w:rsidR="00337FA7">
        <w:rPr>
          <w:iCs/>
        </w:rPr>
        <w:t>)</w:t>
      </w:r>
      <w:r w:rsidR="00337FA7" w:rsidRPr="00337FA7">
        <w:rPr>
          <w:iCs/>
        </w:rPr>
        <w:t xml:space="preserve"> et de stimulation de leur créativité en réponse aux besoins formulés.</w:t>
      </w:r>
      <w:r w:rsidR="00266B7D">
        <w:rPr>
          <w:iCs/>
        </w:rPr>
        <w:t xml:space="preserve"> </w:t>
      </w:r>
      <w:r w:rsidR="00266B7D" w:rsidRPr="00266B7D">
        <w:rPr>
          <w:iCs/>
        </w:rPr>
        <w:t>Cela réduit également le travail de l’acheteur.</w:t>
      </w:r>
    </w:p>
    <w:p w14:paraId="38279782" w14:textId="3CDB66A7" w:rsidR="00E3740D" w:rsidRPr="00E3740D" w:rsidRDefault="00337FA7" w:rsidP="006A3ECD">
      <w:pPr>
        <w:spacing w:before="120" w:after="120"/>
        <w:jc w:val="both"/>
        <w:rPr>
          <w:iCs/>
        </w:rPr>
      </w:pPr>
      <w:r>
        <w:rPr>
          <w:iCs/>
        </w:rPr>
        <w:t>Malgré cette ouverture de la r</w:t>
      </w:r>
      <w:r w:rsidR="00E3740D" w:rsidRPr="00E3740D">
        <w:rPr>
          <w:iCs/>
        </w:rPr>
        <w:t>églementation,</w:t>
      </w:r>
      <w:r>
        <w:rPr>
          <w:iCs/>
        </w:rPr>
        <w:t xml:space="preserve"> force et de constater que</w:t>
      </w:r>
      <w:r w:rsidR="00E3740D" w:rsidRPr="00E3740D">
        <w:rPr>
          <w:iCs/>
        </w:rPr>
        <w:t xml:space="preserve"> </w:t>
      </w:r>
      <w:r w:rsidR="00E3740D" w:rsidRPr="00E3740D">
        <w:rPr>
          <w:b/>
          <w:iCs/>
        </w:rPr>
        <w:t>l’usage des variantes reste limité</w:t>
      </w:r>
      <w:r w:rsidR="00E3740D" w:rsidRPr="00E3740D">
        <w:rPr>
          <w:iCs/>
        </w:rPr>
        <w:t xml:space="preserve">, soit que les acheteurs les interdisent </w:t>
      </w:r>
      <w:r w:rsidR="00EA5DE4">
        <w:rPr>
          <w:iCs/>
        </w:rPr>
        <w:t xml:space="preserve">expressément </w:t>
      </w:r>
      <w:r w:rsidR="00E3740D" w:rsidRPr="00E3740D">
        <w:rPr>
          <w:iCs/>
        </w:rPr>
        <w:t>ou ne les autorisent pas, soit que les entreprises craignent, en déposant seulement la variante, que leur offre soit considérée comme non conforme.</w:t>
      </w:r>
    </w:p>
    <w:p w14:paraId="61EC36CF" w14:textId="304C5570" w:rsidR="00E3740D" w:rsidRDefault="00E3740D" w:rsidP="00A94064">
      <w:pPr>
        <w:pStyle w:val="Encart"/>
        <w:spacing w:after="60" w:line="276" w:lineRule="auto"/>
      </w:pPr>
      <w:r w:rsidRPr="00E3740D">
        <w:t>Se contenter d’autoriser les variantes sans précision n’apparaît pas comme suffisan</w:t>
      </w:r>
      <w:r w:rsidR="00242406">
        <w:t>t pour rassurer les entreprises</w:t>
      </w:r>
      <w:r w:rsidRPr="00E3740D">
        <w:t>. Elles ne prendront pas toujours le risque de se lancer dans une candidature coûteuse en temps, sans être assurées que leur proposition pourra être valablement examinée.</w:t>
      </w:r>
    </w:p>
    <w:p w14:paraId="47FDE8AA" w14:textId="3C027C76" w:rsidR="00EA5DE4" w:rsidRPr="00142ADA" w:rsidRDefault="00EA5DE4" w:rsidP="00847FEC">
      <w:pPr>
        <w:pStyle w:val="Encart"/>
        <w:tabs>
          <w:tab w:val="decimal" w:pos="709"/>
        </w:tabs>
        <w:spacing w:after="240" w:line="276" w:lineRule="auto"/>
        <w:contextualSpacing/>
      </w:pPr>
      <w:r w:rsidRPr="00142ADA">
        <w:rPr>
          <w:color w:val="FF0000"/>
        </w:rPr>
        <w:t>Envoyer un message clair aux candidats en faveur des variantes dans les documents de la consultation revient également à envoyer un signal positif en faveur de l’innovation</w:t>
      </w:r>
      <w:r w:rsidRPr="00142ADA">
        <w:t>.</w:t>
      </w:r>
    </w:p>
    <w:p w14:paraId="3DFF8235" w14:textId="52132B32" w:rsidR="00E3740D" w:rsidRPr="00E3740D" w:rsidRDefault="0079214F" w:rsidP="00B77647">
      <w:pPr>
        <w:spacing w:before="120" w:after="60"/>
        <w:jc w:val="both"/>
        <w:rPr>
          <w:iCs/>
        </w:rPr>
      </w:pPr>
      <w:r w:rsidRPr="006D739D">
        <w:rPr>
          <w:noProof/>
          <w:lang w:eastAsia="fr-FR"/>
        </w:rPr>
        <w:drawing>
          <wp:anchor distT="0" distB="0" distL="114300" distR="114300" simplePos="0" relativeHeight="251691008" behindDoc="0" locked="0" layoutInCell="1" allowOverlap="1" wp14:anchorId="3CA035BB" wp14:editId="2BE94F74">
            <wp:simplePos x="0" y="0"/>
            <wp:positionH relativeFrom="margin">
              <wp:align>left</wp:align>
            </wp:positionH>
            <wp:positionV relativeFrom="paragraph">
              <wp:posOffset>25</wp:posOffset>
            </wp:positionV>
            <wp:extent cx="405130" cy="367665"/>
            <wp:effectExtent l="0" t="0" r="0" b="0"/>
            <wp:wrapSquare wrapText="bothSides"/>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05130" cy="367665"/>
                    </a:xfrm>
                    <a:prstGeom prst="rect">
                      <a:avLst/>
                    </a:prstGeom>
                  </pic:spPr>
                </pic:pic>
              </a:graphicData>
            </a:graphic>
            <wp14:sizeRelH relativeFrom="page">
              <wp14:pctWidth>0</wp14:pctWidth>
            </wp14:sizeRelH>
            <wp14:sizeRelV relativeFrom="page">
              <wp14:pctHeight>0</wp14:pctHeight>
            </wp14:sizeRelV>
          </wp:anchor>
        </w:drawing>
      </w:r>
      <w:r w:rsidR="00E3740D" w:rsidRPr="00E3740D">
        <w:rPr>
          <w:iCs/>
        </w:rPr>
        <w:t xml:space="preserve"> Il est donc </w:t>
      </w:r>
      <w:r w:rsidR="00DF52AE">
        <w:rPr>
          <w:iCs/>
        </w:rPr>
        <w:t xml:space="preserve">recommandé </w:t>
      </w:r>
      <w:r w:rsidR="00E3740D" w:rsidRPr="00E3740D">
        <w:rPr>
          <w:iCs/>
        </w:rPr>
        <w:t>de prévoir</w:t>
      </w:r>
      <w:r w:rsidR="00E3740D">
        <w:rPr>
          <w:iCs/>
        </w:rPr>
        <w:t xml:space="preserve"> à l’avance</w:t>
      </w:r>
      <w:r w:rsidR="00E3740D" w:rsidRPr="00E3740D">
        <w:rPr>
          <w:iCs/>
        </w:rPr>
        <w:t xml:space="preserve"> le traitement des variantes dans les documents de la consultation</w:t>
      </w:r>
      <w:r w:rsidR="00E3740D">
        <w:rPr>
          <w:iCs/>
        </w:rPr>
        <w:t xml:space="preserve"> : </w:t>
      </w:r>
    </w:p>
    <w:p w14:paraId="56A39492" w14:textId="515B604C" w:rsidR="00E3740D" w:rsidRDefault="00E3740D" w:rsidP="00B77647">
      <w:pPr>
        <w:pStyle w:val="Paragraphedeliste"/>
        <w:numPr>
          <w:ilvl w:val="0"/>
          <w:numId w:val="9"/>
        </w:numPr>
        <w:spacing w:before="60" w:after="60"/>
        <w:ind w:left="714" w:hanging="357"/>
        <w:jc w:val="both"/>
        <w:rPr>
          <w:iCs/>
        </w:rPr>
      </w:pPr>
      <w:r w:rsidRPr="00E3740D">
        <w:rPr>
          <w:iCs/>
        </w:rPr>
        <w:t xml:space="preserve">en </w:t>
      </w:r>
      <w:r w:rsidRPr="00EA5DE4">
        <w:rPr>
          <w:iCs/>
          <w:u w:val="single"/>
        </w:rPr>
        <w:t>autorisant explicitement les variantes quelle que soit la procédure</w:t>
      </w:r>
      <w:r w:rsidR="00337FA7">
        <w:rPr>
          <w:b/>
          <w:iCs/>
        </w:rPr>
        <w:t xml:space="preserve">, </w:t>
      </w:r>
      <w:r w:rsidR="00337FA7" w:rsidRPr="007B4F5A">
        <w:rPr>
          <w:iCs/>
        </w:rPr>
        <w:t xml:space="preserve">ce qui nécessite cependant </w:t>
      </w:r>
      <w:r w:rsidR="00337FA7">
        <w:rPr>
          <w:iCs/>
        </w:rPr>
        <w:t xml:space="preserve">de disposer des </w:t>
      </w:r>
      <w:r w:rsidR="00337FA7" w:rsidRPr="007B4F5A">
        <w:rPr>
          <w:iCs/>
        </w:rPr>
        <w:t>moyens et les compétences permettant une évaluation rigoureuse des</w:t>
      </w:r>
      <w:r w:rsidR="00337FA7">
        <w:rPr>
          <w:iCs/>
        </w:rPr>
        <w:t xml:space="preserve"> différentes solutions</w:t>
      </w:r>
      <w:r w:rsidR="0079214F">
        <w:rPr>
          <w:iCs/>
        </w:rPr>
        <w:t xml:space="preserve"> </w:t>
      </w:r>
      <w:r w:rsidRPr="00E3740D">
        <w:rPr>
          <w:iCs/>
        </w:rPr>
        <w:t>;</w:t>
      </w:r>
    </w:p>
    <w:p w14:paraId="4E5960D6" w14:textId="22B53C35" w:rsidR="00E3740D" w:rsidRDefault="00E3740D" w:rsidP="00B77647">
      <w:pPr>
        <w:pStyle w:val="Paragraphedeliste"/>
        <w:numPr>
          <w:ilvl w:val="0"/>
          <w:numId w:val="9"/>
        </w:numPr>
        <w:spacing w:before="60" w:after="60"/>
        <w:ind w:left="714" w:hanging="357"/>
        <w:contextualSpacing w:val="0"/>
        <w:jc w:val="both"/>
        <w:rPr>
          <w:iCs/>
        </w:rPr>
      </w:pPr>
      <w:r w:rsidRPr="00E3740D">
        <w:rPr>
          <w:iCs/>
        </w:rPr>
        <w:t xml:space="preserve">en </w:t>
      </w:r>
      <w:r w:rsidRPr="00EA5DE4">
        <w:rPr>
          <w:iCs/>
          <w:u w:val="single"/>
        </w:rPr>
        <w:t>déterminant les exigences minimales</w:t>
      </w:r>
      <w:r w:rsidRPr="00E3740D">
        <w:rPr>
          <w:iCs/>
        </w:rPr>
        <w:t xml:space="preserve"> ou les éléments du cahier des charges qu’elles devront respecter, et les modalités de leur présentation (ces éléments, obligatoirement mentionnés en procédure formalisée, sont recommandés en MAPA) ;</w:t>
      </w:r>
    </w:p>
    <w:p w14:paraId="43EC0614" w14:textId="122CEDF4" w:rsidR="0079214F" w:rsidRDefault="00E3740D" w:rsidP="00B77647">
      <w:pPr>
        <w:pStyle w:val="Paragraphedeliste"/>
        <w:numPr>
          <w:ilvl w:val="0"/>
          <w:numId w:val="9"/>
        </w:numPr>
        <w:spacing w:before="60" w:after="60"/>
        <w:ind w:left="714" w:hanging="357"/>
        <w:contextualSpacing w:val="0"/>
        <w:jc w:val="both"/>
        <w:rPr>
          <w:iCs/>
        </w:rPr>
      </w:pPr>
      <w:r w:rsidRPr="00E3740D">
        <w:rPr>
          <w:iCs/>
        </w:rPr>
        <w:t xml:space="preserve">en </w:t>
      </w:r>
      <w:r w:rsidRPr="00EA5DE4">
        <w:rPr>
          <w:iCs/>
          <w:u w:val="single"/>
        </w:rPr>
        <w:t>retenant des critères</w:t>
      </w:r>
      <w:r w:rsidRPr="00EA5DE4">
        <w:rPr>
          <w:iCs/>
        </w:rPr>
        <w:t xml:space="preserve"> </w:t>
      </w:r>
      <w:r w:rsidR="00EA5DE4">
        <w:rPr>
          <w:iCs/>
        </w:rPr>
        <w:t>(</w:t>
      </w:r>
      <w:r w:rsidR="00EA5DE4" w:rsidRPr="00E3740D">
        <w:rPr>
          <w:iCs/>
        </w:rPr>
        <w:t>et sous-critères</w:t>
      </w:r>
      <w:r w:rsidR="00EA5DE4">
        <w:rPr>
          <w:iCs/>
        </w:rPr>
        <w:t>)</w:t>
      </w:r>
      <w:r w:rsidR="00EA5DE4" w:rsidRPr="00EA5DE4">
        <w:rPr>
          <w:iCs/>
        </w:rPr>
        <w:t xml:space="preserve"> </w:t>
      </w:r>
      <w:r w:rsidRPr="00EA5DE4">
        <w:rPr>
          <w:iCs/>
          <w:u w:val="single"/>
        </w:rPr>
        <w:t xml:space="preserve">d’attribution </w:t>
      </w:r>
      <w:r w:rsidR="00B17A8C">
        <w:rPr>
          <w:iCs/>
          <w:u w:val="single"/>
        </w:rPr>
        <w:t>identiques</w:t>
      </w:r>
      <w:r w:rsidR="00EA5DE4">
        <w:rPr>
          <w:iCs/>
          <w:u w:val="single"/>
        </w:rPr>
        <w:t>,</w:t>
      </w:r>
      <w:r w:rsidRPr="00E3740D">
        <w:rPr>
          <w:iCs/>
        </w:rPr>
        <w:t xml:space="preserve"> qui permettront d’évaluer à la fois les offres de base et les variantes ;</w:t>
      </w:r>
    </w:p>
    <w:p w14:paraId="68D27652" w14:textId="2F4D00CB" w:rsidR="00E3740D" w:rsidRPr="0079214F" w:rsidRDefault="00E3740D" w:rsidP="00B77647">
      <w:pPr>
        <w:pStyle w:val="Paragraphedeliste"/>
        <w:numPr>
          <w:ilvl w:val="0"/>
          <w:numId w:val="9"/>
        </w:numPr>
        <w:spacing w:before="60" w:after="120"/>
        <w:ind w:left="714" w:hanging="357"/>
        <w:contextualSpacing w:val="0"/>
        <w:jc w:val="both"/>
        <w:rPr>
          <w:iCs/>
        </w:rPr>
      </w:pPr>
      <w:r w:rsidRPr="0079214F">
        <w:rPr>
          <w:iCs/>
        </w:rPr>
        <w:t xml:space="preserve">en fléchant les variantes dans la </w:t>
      </w:r>
      <w:r w:rsidRPr="00EA5DE4">
        <w:rPr>
          <w:iCs/>
          <w:u w:val="single"/>
        </w:rPr>
        <w:t>trame de mémoire technique</w:t>
      </w:r>
      <w:r w:rsidRPr="0079214F">
        <w:rPr>
          <w:iCs/>
        </w:rPr>
        <w:t>, pour inciter les entreprises à décrire et justifier avec précision l’amélioration</w:t>
      </w:r>
      <w:r w:rsidR="0079214F">
        <w:rPr>
          <w:iCs/>
        </w:rPr>
        <w:t xml:space="preserve"> technique ou </w:t>
      </w:r>
      <w:r w:rsidRPr="0079214F">
        <w:rPr>
          <w:iCs/>
        </w:rPr>
        <w:t>l’économie</w:t>
      </w:r>
      <w:r w:rsidR="0079214F">
        <w:rPr>
          <w:iCs/>
        </w:rPr>
        <w:t xml:space="preserve"> générée(s) par</w:t>
      </w:r>
      <w:r w:rsidRPr="0079214F">
        <w:rPr>
          <w:iCs/>
        </w:rPr>
        <w:t xml:space="preserve"> la variante par rapport à la solution de base.</w:t>
      </w:r>
    </w:p>
    <w:p w14:paraId="6D1217CE" w14:textId="21D1FF10" w:rsidR="00E3740D" w:rsidRPr="00E3740D" w:rsidRDefault="0079214F" w:rsidP="00CB465A">
      <w:pPr>
        <w:spacing w:before="120" w:after="120"/>
        <w:jc w:val="both"/>
        <w:rPr>
          <w:iCs/>
        </w:rPr>
      </w:pPr>
      <w:r>
        <w:rPr>
          <w:iCs/>
        </w:rPr>
        <w:t>Afin de classer les offres, l</w:t>
      </w:r>
      <w:r w:rsidR="00E3740D" w:rsidRPr="00E3740D">
        <w:rPr>
          <w:iCs/>
        </w:rPr>
        <w:t xml:space="preserve">a seule méthode consiste à examiner chaque proposition indépendamment des autres, qu’il s’agisse d’offres de base ou de variantes, pour dresser ensuite un </w:t>
      </w:r>
      <w:r w:rsidR="00E3740D" w:rsidRPr="00EA5DE4">
        <w:rPr>
          <w:b/>
          <w:iCs/>
        </w:rPr>
        <w:t>classement unique</w:t>
      </w:r>
      <w:r w:rsidR="00E3740D" w:rsidRPr="00E3740D">
        <w:rPr>
          <w:iCs/>
        </w:rPr>
        <w:t>, selon la note obtenue.</w:t>
      </w:r>
      <w:r>
        <w:rPr>
          <w:iCs/>
        </w:rPr>
        <w:t xml:space="preserve"> </w:t>
      </w:r>
      <w:r w:rsidRPr="00110FF2">
        <w:rPr>
          <w:iCs/>
        </w:rPr>
        <w:t>Les offres de base et les variantes</w:t>
      </w:r>
      <w:r>
        <w:rPr>
          <w:iCs/>
        </w:rPr>
        <w:t xml:space="preserve"> </w:t>
      </w:r>
      <w:r w:rsidRPr="00110FF2">
        <w:rPr>
          <w:iCs/>
        </w:rPr>
        <w:t xml:space="preserve">sont </w:t>
      </w:r>
      <w:r>
        <w:rPr>
          <w:iCs/>
        </w:rPr>
        <w:t xml:space="preserve">ainsi </w:t>
      </w:r>
      <w:r w:rsidRPr="00110FF2">
        <w:rPr>
          <w:iCs/>
        </w:rPr>
        <w:t xml:space="preserve">jugées en une seule fois </w:t>
      </w:r>
      <w:r w:rsidRPr="00440CCE">
        <w:rPr>
          <w:iCs/>
        </w:rPr>
        <w:t>sur la base des mêmes critères et selon les mêmes modalités</w:t>
      </w:r>
      <w:r w:rsidRPr="00110FF2">
        <w:rPr>
          <w:iCs/>
        </w:rPr>
        <w:t>.</w:t>
      </w:r>
    </w:p>
    <w:p w14:paraId="714699A3" w14:textId="6A2828E1" w:rsidR="00E3740D" w:rsidRDefault="00E3740D" w:rsidP="00B50AC4">
      <w:pPr>
        <w:spacing w:before="120" w:after="240"/>
        <w:jc w:val="both"/>
        <w:rPr>
          <w:iCs/>
        </w:rPr>
      </w:pPr>
      <w:r w:rsidRPr="00E3740D">
        <w:rPr>
          <w:iCs/>
        </w:rPr>
        <w:t xml:space="preserve">Enfin, le respect, par la personne publique, de la plus stricte </w:t>
      </w:r>
      <w:r w:rsidRPr="0079214F">
        <w:rPr>
          <w:b/>
          <w:iCs/>
        </w:rPr>
        <w:t>confidentialité</w:t>
      </w:r>
      <w:r w:rsidRPr="00E3740D">
        <w:rPr>
          <w:iCs/>
        </w:rPr>
        <w:t xml:space="preserve"> est essentiel pour que les prestataires puissent, en confiance, présenter leurs solutions les plus innovantes dans une consultation.</w:t>
      </w:r>
    </w:p>
    <w:p w14:paraId="3FDD7F71" w14:textId="609A39B5" w:rsidR="0059411A" w:rsidRDefault="0019616D" w:rsidP="00FF4566">
      <w:pPr>
        <w:pStyle w:val="Exemple"/>
        <w:framePr w:wrap="around"/>
      </w:pPr>
      <w:r w:rsidRPr="0019616D">
        <w:rPr>
          <w:highlight w:val="yellow"/>
        </w:rPr>
        <w:t>E</w:t>
      </w:r>
      <w:r w:rsidR="0059411A" w:rsidRPr="0019616D">
        <w:rPr>
          <w:highlight w:val="yellow"/>
        </w:rPr>
        <w:t xml:space="preserve">xemple </w:t>
      </w:r>
      <w:r w:rsidRPr="0019616D">
        <w:rPr>
          <w:highlight w:val="yellow"/>
        </w:rPr>
        <w:t>réussi de variante</w:t>
      </w:r>
      <w:r w:rsidR="0059411A" w:rsidRPr="0019616D">
        <w:t xml:space="preserve"> </w:t>
      </w:r>
      <w:r w:rsidR="00FF4566">
        <w:tab/>
      </w:r>
      <w:r w:rsidR="00FF4566">
        <w:tab/>
      </w:r>
      <w:r w:rsidR="00FF4566">
        <w:tab/>
      </w:r>
      <w:r w:rsidR="00FF4566">
        <w:tab/>
      </w:r>
      <w:r w:rsidR="00FF4566">
        <w:tab/>
      </w:r>
      <w:r w:rsidR="00FF4566">
        <w:tab/>
      </w:r>
      <w:r w:rsidR="00FF4566">
        <w:tab/>
      </w:r>
      <w:r w:rsidR="00FF4566">
        <w:tab/>
      </w:r>
      <w:r w:rsidR="00FF4566">
        <w:tab/>
      </w:r>
      <w:r w:rsidR="00FF4566">
        <w:tab/>
      </w:r>
    </w:p>
    <w:p w14:paraId="41D2E725" w14:textId="77777777" w:rsidR="007043FC" w:rsidRPr="0019616D" w:rsidRDefault="007043FC" w:rsidP="00FF4566">
      <w:pPr>
        <w:pStyle w:val="Exemple"/>
        <w:framePr w:wrap="around"/>
      </w:pPr>
    </w:p>
    <w:p w14:paraId="51803DBE" w14:textId="77777777" w:rsidR="00453C04" w:rsidRDefault="00453C04">
      <w:pPr>
        <w:rPr>
          <w:b/>
          <w:caps/>
          <w:color w:val="004EA8"/>
          <w:spacing w:val="15"/>
        </w:rPr>
      </w:pPr>
      <w:r>
        <w:br w:type="page"/>
      </w:r>
    </w:p>
    <w:p w14:paraId="51948000" w14:textId="3DDA6E49" w:rsidR="00F9613F" w:rsidRDefault="00F9613F" w:rsidP="00913D63">
      <w:pPr>
        <w:pStyle w:val="Titre1"/>
        <w:spacing w:after="360"/>
      </w:pPr>
      <w:bookmarkStart w:id="25" w:name="_Fiche_6_:"/>
      <w:bookmarkStart w:id="26" w:name="_Toc7425933"/>
      <w:bookmarkEnd w:id="25"/>
      <w:r>
        <w:lastRenderedPageBreak/>
        <w:t xml:space="preserve">Fiche 6 : </w:t>
      </w:r>
      <w:r w:rsidR="00643B40">
        <w:t>Encourager les g</w:t>
      </w:r>
      <w:r>
        <w:t>roupements momentanés d’entreprises (GME)</w:t>
      </w:r>
      <w:bookmarkEnd w:id="26"/>
    </w:p>
    <w:p w14:paraId="431B5A90" w14:textId="0E67541C" w:rsidR="00913D63" w:rsidRDefault="00913D63" w:rsidP="00913D63">
      <w:pPr>
        <w:spacing w:after="180"/>
        <w:jc w:val="both"/>
      </w:pPr>
      <w:r w:rsidRPr="00922262">
        <w:rPr>
          <w:rStyle w:val="Lienhypertexte"/>
          <w:noProof/>
          <w:szCs w:val="23"/>
          <w:lang w:eastAsia="fr-FR"/>
        </w:rPr>
        <w:drawing>
          <wp:anchor distT="0" distB="0" distL="114300" distR="114300" simplePos="0" relativeHeight="251755520" behindDoc="0" locked="0" layoutInCell="1" allowOverlap="1" wp14:anchorId="68170A86" wp14:editId="5FB4C971">
            <wp:simplePos x="0" y="0"/>
            <wp:positionH relativeFrom="margin">
              <wp:align>left</wp:align>
            </wp:positionH>
            <wp:positionV relativeFrom="paragraph">
              <wp:posOffset>11010</wp:posOffset>
            </wp:positionV>
            <wp:extent cx="431165" cy="431165"/>
            <wp:effectExtent l="0" t="0" r="6985" b="6985"/>
            <wp:wrapSquare wrapText="bothSides"/>
            <wp:docPr id="24" name="Image 24" descr="K:\1ESD\1C\COMMUN1C\06. OECP\3 - GT OECP\GT_acces-TPE-PME\Projet de guide\Icônes\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1ESD\1C\COMMUN1C\06. OECP\3 - GT OECP\GT_acces-TPE-PME\Projet de guide\Icônes\book.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flipH="1">
                      <a:off x="0" y="0"/>
                      <a:ext cx="431165" cy="431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2C16">
        <w:t>L’a</w:t>
      </w:r>
      <w:r w:rsidR="002B2C16" w:rsidRPr="002B2C16">
        <w:t>rticle R</w:t>
      </w:r>
      <w:r w:rsidR="002B2C16">
        <w:t xml:space="preserve">. </w:t>
      </w:r>
      <w:r w:rsidR="002B2C16" w:rsidRPr="002B2C16">
        <w:t>2142-19</w:t>
      </w:r>
      <w:r w:rsidR="002B2C16">
        <w:t xml:space="preserve"> du CCP établit que d</w:t>
      </w:r>
      <w:r w:rsidR="002B2C16" w:rsidRPr="002B2C16">
        <w:t xml:space="preserve">es groupements peuvent </w:t>
      </w:r>
      <w:r w:rsidR="004C523A">
        <w:t>candidater à des m</w:t>
      </w:r>
      <w:r w:rsidR="002B2C16" w:rsidRPr="002B2C16">
        <w:t>archés</w:t>
      </w:r>
      <w:r w:rsidR="004C523A">
        <w:t xml:space="preserve"> publics</w:t>
      </w:r>
      <w:r>
        <w:t xml:space="preserve">, afin de permettre </w:t>
      </w:r>
      <w:r w:rsidR="00F9613F">
        <w:t xml:space="preserve">à des opérateurs économiques d’unir leurs compétences et leurs moyens </w:t>
      </w:r>
      <w:r>
        <w:t xml:space="preserve">dans </w:t>
      </w:r>
      <w:r w:rsidRPr="00913D63">
        <w:t>l’</w:t>
      </w:r>
      <w:r w:rsidRPr="00913D63">
        <w:rPr>
          <w:b/>
        </w:rPr>
        <w:t>élaboration d’u</w:t>
      </w:r>
      <w:r w:rsidR="00F9613F" w:rsidRPr="00913D63">
        <w:rPr>
          <w:b/>
        </w:rPr>
        <w:t>ne</w:t>
      </w:r>
      <w:r w:rsidR="00F9613F" w:rsidRPr="004C523A">
        <w:rPr>
          <w:b/>
        </w:rPr>
        <w:t xml:space="preserve"> réponse commune pour une procédure de marché </w:t>
      </w:r>
      <w:r w:rsidR="00F9613F">
        <w:t xml:space="preserve">à laquelle ils n’auraient pas nécessairement pu participer seuls. </w:t>
      </w:r>
    </w:p>
    <w:p w14:paraId="061B0ACF" w14:textId="510F597D" w:rsidR="00F9613F" w:rsidRDefault="00F712E3" w:rsidP="00E849F5">
      <w:pPr>
        <w:spacing w:after="120"/>
        <w:jc w:val="both"/>
      </w:pPr>
      <w:r w:rsidRPr="00D556AB">
        <w:rPr>
          <w:noProof/>
          <w:lang w:eastAsia="fr-FR"/>
        </w:rPr>
        <w:drawing>
          <wp:anchor distT="0" distB="0" distL="114300" distR="114300" simplePos="0" relativeHeight="251790336" behindDoc="1" locked="0" layoutInCell="1" allowOverlap="1" wp14:anchorId="001A36D6" wp14:editId="49F131CB">
            <wp:simplePos x="0" y="0"/>
            <wp:positionH relativeFrom="margin">
              <wp:posOffset>5374640</wp:posOffset>
            </wp:positionH>
            <wp:positionV relativeFrom="paragraph">
              <wp:posOffset>31115</wp:posOffset>
            </wp:positionV>
            <wp:extent cx="382270" cy="334010"/>
            <wp:effectExtent l="0" t="0" r="0" b="8890"/>
            <wp:wrapTight wrapText="bothSides">
              <wp:wrapPolygon edited="0">
                <wp:start x="1076" y="0"/>
                <wp:lineTo x="0" y="3696"/>
                <wp:lineTo x="0" y="7392"/>
                <wp:lineTo x="4306" y="19711"/>
                <wp:lineTo x="4306" y="20943"/>
                <wp:lineTo x="16146" y="20943"/>
                <wp:lineTo x="16146" y="19711"/>
                <wp:lineTo x="20452" y="6160"/>
                <wp:lineTo x="20452" y="3696"/>
                <wp:lineTo x="19375" y="0"/>
                <wp:lineTo x="1076" y="0"/>
              </wp:wrapPolygon>
            </wp:wrapTight>
            <wp:docPr id="16" name="Image 16" descr="K:\1ESD\1C\COMMUN1C\06. OECP\3 - GT OECP\GT_acces-TPE-PME\Projet de guide\Icônes et schémas\gro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1ESD\1C\COMMUN1C\06. OECP\3 - GT OECP\GT_acces-TPE-PME\Projet de guide\Icônes et schémas\group.png"/>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82270" cy="334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613F">
        <w:t>L’intérêt est multiple</w:t>
      </w:r>
      <w:r w:rsidR="004C523A">
        <w:t xml:space="preserve"> </w:t>
      </w:r>
      <w:r w:rsidR="00F9613F">
        <w:t>: accéder à de nouveaux marchés dépassant les capacités individuelles</w:t>
      </w:r>
      <w:r w:rsidR="004C523A">
        <w:t xml:space="preserve"> des entreprises</w:t>
      </w:r>
      <w:r w:rsidR="00F9613F">
        <w:t xml:space="preserve">, </w:t>
      </w:r>
      <w:r w:rsidR="004A57AA">
        <w:t xml:space="preserve">mutualiser des frais fixes pour une opération donnée, bénéficier du statut de cocontractant (plutôt que sous-traitant), </w:t>
      </w:r>
      <w:r w:rsidR="00F9613F">
        <w:t>permettre aux PME d’intervenir aux côtés d’autres entreprises dans une relation partenariale.</w:t>
      </w:r>
    </w:p>
    <w:p w14:paraId="4E9C3F30" w14:textId="7B8A98BB" w:rsidR="00C81C2A" w:rsidRDefault="004C523A" w:rsidP="00E849F5">
      <w:pPr>
        <w:spacing w:after="120"/>
        <w:jc w:val="both"/>
      </w:pPr>
      <w:r>
        <w:t xml:space="preserve">Cependant, la constitution d’un GME nécessite une </w:t>
      </w:r>
      <w:r w:rsidRPr="00C81C2A">
        <w:rPr>
          <w:b/>
        </w:rPr>
        <w:t>bonne anticipation et une relation de confiance</w:t>
      </w:r>
      <w:r>
        <w:t xml:space="preserve"> entre opérateurs économiques. Elle dépend également des pratiques dans le secteur concerné. </w:t>
      </w:r>
    </w:p>
    <w:p w14:paraId="0C3EA297" w14:textId="5798F4C6" w:rsidR="004C523A" w:rsidRDefault="00C81C2A" w:rsidP="00E849F5">
      <w:pPr>
        <w:spacing w:after="120"/>
        <w:jc w:val="both"/>
      </w:pPr>
      <w:r>
        <w:t>Si l’on constate depuis quelques années que la proportion des GME dans la commande publique stagne</w:t>
      </w:r>
      <w:r>
        <w:rPr>
          <w:rStyle w:val="Appelnotedebasdep"/>
        </w:rPr>
        <w:footnoteReference w:id="23"/>
      </w:r>
      <w:r>
        <w:t>, l</w:t>
      </w:r>
      <w:r w:rsidR="004C523A">
        <w:t xml:space="preserve">es </w:t>
      </w:r>
      <w:r>
        <w:t>acheteurs peuvent, par quelques mesures simples, favoriser leur essor</w:t>
      </w:r>
      <w:r w:rsidR="00D556AB">
        <w:t xml:space="preserve">. </w:t>
      </w:r>
      <w:r w:rsidR="00AF2F6C">
        <w:t>Outre le développement d’espaces permettant aux entreprises d’échanger entre elles</w:t>
      </w:r>
      <w:r w:rsidR="00AF2F6C">
        <w:rPr>
          <w:rStyle w:val="Appelnotedebasdep"/>
        </w:rPr>
        <w:footnoteReference w:id="24"/>
      </w:r>
      <w:r w:rsidR="00AF2F6C">
        <w:t xml:space="preserve">, </w:t>
      </w:r>
      <w:r w:rsidR="00C84879" w:rsidRPr="00C84879">
        <w:t>le délai de réponse laissé aux opérateurs économiques pour constituer leur offre et éventuellement se regrouper est essentiel. Il convient donc de privilégier des délais supérieurs aux délais minimaux (</w:t>
      </w:r>
      <w:hyperlink w:anchor="_Fiche_3_:" w:history="1">
        <w:r w:rsidR="00C84879" w:rsidRPr="00C84879">
          <w:rPr>
            <w:rStyle w:val="Lienhypertexte"/>
          </w:rPr>
          <w:t>cf. point dédié</w:t>
        </w:r>
      </w:hyperlink>
      <w:r w:rsidR="00C84879">
        <w:t>)</w:t>
      </w:r>
      <w:r w:rsidR="00C84879" w:rsidRPr="00C84879">
        <w:t>.</w:t>
      </w:r>
    </w:p>
    <w:p w14:paraId="567A59DA" w14:textId="1E9F0422" w:rsidR="00F9613F" w:rsidRDefault="002D42A0" w:rsidP="00E849F5">
      <w:pPr>
        <w:spacing w:after="120"/>
        <w:jc w:val="both"/>
      </w:pPr>
      <w:r>
        <w:t>L</w:t>
      </w:r>
      <w:r w:rsidR="00F9613F">
        <w:t xml:space="preserve">e groupement d’entreprise n’est pas doté de la personnalité morale et son champ est limité à l’exécution du contrat pour lequel il a été constitué. La réglementation prévoit </w:t>
      </w:r>
      <w:r w:rsidR="00F9613F" w:rsidRPr="002D42A0">
        <w:rPr>
          <w:b/>
        </w:rPr>
        <w:t>deux formes de gr</w:t>
      </w:r>
      <w:r w:rsidR="00E849F5" w:rsidRPr="002D42A0">
        <w:rPr>
          <w:b/>
        </w:rPr>
        <w:t>oupement</w:t>
      </w:r>
      <w:r w:rsidR="00E849F5">
        <w:t>, conjoint ou solidaire</w:t>
      </w:r>
      <w:r>
        <w:t xml:space="preserve">, dont les implications sont </w:t>
      </w:r>
      <w:r w:rsidR="00314931">
        <w:t>distinctes</w:t>
      </w:r>
      <w:r w:rsidR="00F9613F">
        <w:t>.</w:t>
      </w:r>
    </w:p>
    <w:p w14:paraId="2ED5D1F2" w14:textId="38B13A32" w:rsidR="00F9613F" w:rsidRDefault="00F9613F" w:rsidP="000E4C40">
      <w:pPr>
        <w:pStyle w:val="Paragraphedeliste"/>
        <w:numPr>
          <w:ilvl w:val="0"/>
          <w:numId w:val="45"/>
        </w:numPr>
        <w:spacing w:after="120"/>
        <w:ind w:left="714" w:hanging="357"/>
        <w:contextualSpacing w:val="0"/>
        <w:jc w:val="both"/>
      </w:pPr>
      <w:r>
        <w:t xml:space="preserve">En </w:t>
      </w:r>
      <w:r w:rsidRPr="000E4C40">
        <w:rPr>
          <w:u w:val="single"/>
        </w:rPr>
        <w:t>groupement conjoint</w:t>
      </w:r>
      <w:r>
        <w:t>, chaque opérateur économique est engagé sur les prestations qu’il réalise. Une définition précise des prestations, individualisées par entreprise, est nécessaire afin que l’acheteur puisse examiner l’engagement de ch</w:t>
      </w:r>
      <w:r w:rsidR="002D42A0">
        <w:t xml:space="preserve">acun des membres du groupement et en connaître les limites. </w:t>
      </w:r>
    </w:p>
    <w:p w14:paraId="5BE3EAE8" w14:textId="68142557" w:rsidR="00F9613F" w:rsidRDefault="00F9613F" w:rsidP="000E4C40">
      <w:pPr>
        <w:pStyle w:val="Paragraphedeliste"/>
        <w:numPr>
          <w:ilvl w:val="0"/>
          <w:numId w:val="45"/>
        </w:numPr>
        <w:spacing w:after="120"/>
        <w:jc w:val="both"/>
      </w:pPr>
      <w:r>
        <w:t xml:space="preserve">En </w:t>
      </w:r>
      <w:r w:rsidRPr="000E4C40">
        <w:rPr>
          <w:u w:val="single"/>
        </w:rPr>
        <w:t>groupement solidaire</w:t>
      </w:r>
      <w:r>
        <w:t xml:space="preserve">, chaque entreprise est solidairement engagée pour l’ensemble des prestations et peut être amenée à pallier la défaillance de l’un de ses partenaires. Cette forme </w:t>
      </w:r>
      <w:r w:rsidR="00314931">
        <w:t>est donc la plus contraignante pour les candidats</w:t>
      </w:r>
      <w:r>
        <w:t>.</w:t>
      </w:r>
      <w:r w:rsidR="00842608">
        <w:t xml:space="preserve"> Cette forme peut limiter le partenariat entre entreprises de tailles trop différentes ou bien exerçant dans des secteurs très </w:t>
      </w:r>
      <w:r w:rsidR="001B0609">
        <w:t>éloignés</w:t>
      </w:r>
      <w:r w:rsidR="00842608">
        <w:t xml:space="preserve">. </w:t>
      </w:r>
    </w:p>
    <w:p w14:paraId="5FC3BB41" w14:textId="0FD13373" w:rsidR="00842608" w:rsidRDefault="00842608" w:rsidP="00842608">
      <w:pPr>
        <w:spacing w:after="60"/>
        <w:jc w:val="both"/>
      </w:pPr>
      <w:r>
        <w:t xml:space="preserve">Quelle que soit la forme adoptée, un </w:t>
      </w:r>
      <w:r w:rsidRPr="00842608">
        <w:rPr>
          <w:b/>
        </w:rPr>
        <w:t>mandataire</w:t>
      </w:r>
      <w:r>
        <w:t xml:space="preserve"> est </w:t>
      </w:r>
      <w:r w:rsidRPr="00842608">
        <w:rPr>
          <w:b/>
        </w:rPr>
        <w:t xml:space="preserve">obligatoirement </w:t>
      </w:r>
      <w:r w:rsidR="007C4DC3">
        <w:rPr>
          <w:b/>
        </w:rPr>
        <w:t>identifié</w:t>
      </w:r>
      <w:r>
        <w:t xml:space="preserve"> pour représenter le groupement dans ses relations avec l’acheteur et coordonner l’exécution du contrat (ex : réalisation des prestations, gestion administrative et financière). Il peut être solidaire de chaque membre dans le c</w:t>
      </w:r>
      <w:r w:rsidR="00CB2679">
        <w:t xml:space="preserve">adre d’un groupement conjoint. </w:t>
      </w:r>
      <w:r w:rsidR="007C4DC3">
        <w:t xml:space="preserve">Si cela constitue une garantie pour l’acheteur, du fait de la désignation d’un interlocuteur unique notamment, c’est aussi une difficulté quand les entreprises ne sont pas de taille comparable. </w:t>
      </w:r>
    </w:p>
    <w:p w14:paraId="657D11EC" w14:textId="75F8711B" w:rsidR="00873A74" w:rsidRDefault="00873A74" w:rsidP="00873A74">
      <w:pPr>
        <w:spacing w:after="120"/>
        <w:jc w:val="both"/>
      </w:pPr>
      <w:r>
        <w:t xml:space="preserve">La forme du groupement a une incidence sur les </w:t>
      </w:r>
      <w:r w:rsidRPr="00113971">
        <w:rPr>
          <w:b/>
        </w:rPr>
        <w:t>modalités de paiement</w:t>
      </w:r>
      <w:r>
        <w:t xml:space="preserve"> du marché. Si le groupement est conjoint, le règlement est </w:t>
      </w:r>
      <w:r w:rsidR="002E7882">
        <w:t xml:space="preserve">normalement </w:t>
      </w:r>
      <w:r>
        <w:t xml:space="preserve">effectué à chacun des cotraitants. Si le groupement est solidaire, le versement des sommes dues est généralement effectué sur un compte unique ou sur le compte du mandataire s’il a été habilité à ce titre (sauf si les prestations respectives sont individualisables). </w:t>
      </w:r>
    </w:p>
    <w:p w14:paraId="4420428A" w14:textId="69B58A41" w:rsidR="00043CA8" w:rsidRDefault="00842608" w:rsidP="00E849F5">
      <w:pPr>
        <w:spacing w:after="120"/>
        <w:jc w:val="both"/>
      </w:pPr>
      <w:r w:rsidRPr="00842608">
        <w:t xml:space="preserve">L’acheteur ne peut jamais interdire aux opérateurs économiques de se présenter en groupement, ni imposer une forme juridique dès le stade des candidatures. Il peut, cependant, imposer par la suite la </w:t>
      </w:r>
      <w:r w:rsidR="009C073D">
        <w:t xml:space="preserve">forme du groupement </w:t>
      </w:r>
      <w:r w:rsidRPr="00842608">
        <w:t>solidaire, dans la mesure où la bonne exécution du marché le nécessite</w:t>
      </w:r>
      <w:r>
        <w:rPr>
          <w:rStyle w:val="Appelnotedebasdep"/>
        </w:rPr>
        <w:footnoteReference w:id="25"/>
      </w:r>
      <w:r w:rsidRPr="00842608">
        <w:t>.</w:t>
      </w:r>
      <w:r w:rsidR="006D241F">
        <w:t xml:space="preserve"> </w:t>
      </w:r>
      <w:r w:rsidR="006D241F" w:rsidRPr="006D241F">
        <w:rPr>
          <w:highlight w:val="yellow"/>
        </w:rPr>
        <w:t>Exemples ?</w:t>
      </w:r>
      <w:r w:rsidR="006D241F">
        <w:t xml:space="preserve"> </w:t>
      </w:r>
    </w:p>
    <w:p w14:paraId="43AEE7F1" w14:textId="57ADA253" w:rsidR="00842608" w:rsidRPr="00142ADA" w:rsidRDefault="00842608" w:rsidP="00E849F5">
      <w:pPr>
        <w:spacing w:after="120"/>
        <w:jc w:val="both"/>
        <w:rPr>
          <w:color w:val="FF0000"/>
        </w:rPr>
      </w:pPr>
      <w:r w:rsidRPr="00142ADA">
        <w:rPr>
          <w:noProof/>
          <w:color w:val="FF0000"/>
          <w:lang w:eastAsia="fr-FR"/>
        </w:rPr>
        <w:lastRenderedPageBreak/>
        <w:drawing>
          <wp:anchor distT="0" distB="0" distL="114300" distR="114300" simplePos="0" relativeHeight="251792384" behindDoc="0" locked="0" layoutInCell="1" allowOverlap="1" wp14:anchorId="33612200" wp14:editId="7FE85543">
            <wp:simplePos x="0" y="0"/>
            <wp:positionH relativeFrom="margin">
              <wp:align>left</wp:align>
            </wp:positionH>
            <wp:positionV relativeFrom="paragraph">
              <wp:posOffset>8087</wp:posOffset>
            </wp:positionV>
            <wp:extent cx="320723" cy="320723"/>
            <wp:effectExtent l="0" t="0" r="3175" b="3175"/>
            <wp:wrapSquare wrapText="bothSides"/>
            <wp:docPr id="3" name="Image 3" descr="K:\1ESD\1C\COMMUN1C\11. Innovation\GT guide achats innovants\Projet de guide\Icônes\war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1ESD\1C\COMMUN1C\11. Innovation\GT guide achats innovants\Projet de guide\Icônes\warning.png"/>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20723" cy="320723"/>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2ADA">
        <w:rPr>
          <w:color w:val="FF0000"/>
        </w:rPr>
        <w:t>Exiger la solidarité peut avoir un effet dissuasif pour les opérateurs économiques ou entraîner un surcoût se traduisant dans l’offre ; le risque est alors d</w:t>
      </w:r>
      <w:r w:rsidR="00361336">
        <w:rPr>
          <w:color w:val="FF0000"/>
        </w:rPr>
        <w:t>e ne pas élargir l</w:t>
      </w:r>
      <w:r w:rsidRPr="00142ADA">
        <w:rPr>
          <w:color w:val="FF0000"/>
        </w:rPr>
        <w:t xml:space="preserve">a concurrence, notamment </w:t>
      </w:r>
      <w:r w:rsidR="00361336">
        <w:rPr>
          <w:color w:val="FF0000"/>
        </w:rPr>
        <w:t xml:space="preserve">en rendant plus difficile </w:t>
      </w:r>
      <w:r w:rsidRPr="00142ADA">
        <w:rPr>
          <w:color w:val="FF0000"/>
        </w:rPr>
        <w:t>la participation des PME.</w:t>
      </w:r>
    </w:p>
    <w:p w14:paraId="5ECFA39A" w14:textId="4605D2A5" w:rsidR="00842608" w:rsidRDefault="00842608" w:rsidP="00842608">
      <w:pPr>
        <w:pStyle w:val="Encart"/>
        <w:spacing w:line="276" w:lineRule="auto"/>
      </w:pPr>
      <w:r>
        <w:t>Il est donc conseillé aux acheteurs de procéder à une réflexion préalable, tenant compte de l’objet du marché, de la technicité et de la diversité des prestations demandées, avant d’imposer une forme de solidarité (membres ou mandataire) pour le groupement.</w:t>
      </w:r>
    </w:p>
    <w:p w14:paraId="2B8DC71C" w14:textId="791C3C55" w:rsidR="00873A74" w:rsidRDefault="00873A74" w:rsidP="00E849F5">
      <w:pPr>
        <w:spacing w:after="120"/>
        <w:jc w:val="both"/>
      </w:pPr>
      <w:r w:rsidRPr="00E849F5">
        <w:rPr>
          <w:highlight w:val="yellow"/>
        </w:rPr>
        <w:t xml:space="preserve">Exemple / bonne </w:t>
      </w:r>
      <w:r w:rsidRPr="009C5BFE">
        <w:rPr>
          <w:highlight w:val="yellow"/>
        </w:rPr>
        <w:t>pratique</w:t>
      </w:r>
      <w:r w:rsidRPr="009C5BFE">
        <w:rPr>
          <w:highlight w:val="yellow"/>
        </w:rPr>
        <w:tab/>
        <w:t xml:space="preserve"> d’un acheteur ne requérant pas systématiquement de solidarité ?</w:t>
      </w:r>
    </w:p>
    <w:p w14:paraId="0FEAAFE1" w14:textId="2538C541" w:rsidR="00F9613F" w:rsidRDefault="00F9613F" w:rsidP="00E849F5">
      <w:pPr>
        <w:spacing w:after="120"/>
        <w:jc w:val="both"/>
      </w:pPr>
      <w:r>
        <w:t>S’agissant d’un accord privé, le groupement ne répond pas à un formalisme particulier. A minima, le formulaire DC1 peut servir de convention de mandat. Il est cependant conseillé d’</w:t>
      </w:r>
      <w:r w:rsidRPr="00842608">
        <w:rPr>
          <w:b/>
        </w:rPr>
        <w:t>établir un document spécifique</w:t>
      </w:r>
      <w:r>
        <w:t xml:space="preserve">, de type </w:t>
      </w:r>
      <w:r w:rsidRPr="00842608">
        <w:t>convention écrite</w:t>
      </w:r>
      <w:r>
        <w:t>, identifiant bien la nature du groupement, les responsabilités de chacun des membres, les règles de fonctionnement du groupement</w:t>
      </w:r>
      <w:r w:rsidR="00CB2679">
        <w:t xml:space="preserve"> (ex : mode de prise de décision)</w:t>
      </w:r>
      <w:r>
        <w:t>, la mission du mandataire commun et son éventuelle rémunération</w:t>
      </w:r>
      <w:r w:rsidR="00CB2679">
        <w:t>, les règles de confidentialité à respecter</w:t>
      </w:r>
      <w:r>
        <w:t xml:space="preserve">. </w:t>
      </w:r>
    </w:p>
    <w:p w14:paraId="396A1332" w14:textId="77777777" w:rsidR="00F9613F" w:rsidRDefault="00F9613F" w:rsidP="00E849F5">
      <w:pPr>
        <w:spacing w:after="120"/>
        <w:jc w:val="both"/>
      </w:pPr>
      <w:r>
        <w:t>Si le DC1 n’est pas suffisamment explicite sur les engagements réciproques, l’acheteur peut exiger la convention de groupement, mais il devra l’avoir prévu.</w:t>
      </w:r>
    </w:p>
    <w:p w14:paraId="356F3171" w14:textId="19B3F727" w:rsidR="00F9613F" w:rsidRDefault="00F9613F" w:rsidP="00E849F5">
      <w:pPr>
        <w:pStyle w:val="Paragraphedeliste"/>
        <w:numPr>
          <w:ilvl w:val="0"/>
          <w:numId w:val="25"/>
        </w:numPr>
        <w:spacing w:after="120"/>
        <w:ind w:left="714" w:hanging="357"/>
        <w:jc w:val="both"/>
      </w:pPr>
      <w:r>
        <w:t>Les syndicats ou fédérations professionnelles peuvent renseigner les entreprises ou leur fournir des exemples de convention de groupement</w:t>
      </w:r>
      <w:r w:rsidR="00E849F5">
        <w:rPr>
          <w:rStyle w:val="Appelnotedebasdep"/>
        </w:rPr>
        <w:footnoteReference w:id="26"/>
      </w:r>
      <w:r>
        <w:t xml:space="preserve">. </w:t>
      </w:r>
    </w:p>
    <w:p w14:paraId="7BF7B88D" w14:textId="77777777" w:rsidR="001D373A" w:rsidRDefault="001D373A">
      <w:r>
        <w:br w:type="page"/>
      </w:r>
    </w:p>
    <w:p w14:paraId="3D3BE5CA" w14:textId="24B560AF" w:rsidR="00012F80" w:rsidRDefault="00012F80" w:rsidP="00012F80">
      <w:pPr>
        <w:pStyle w:val="Titre"/>
        <w:jc w:val="center"/>
      </w:pPr>
      <w:r>
        <w:lastRenderedPageBreak/>
        <w:t>Procédure de passation du marché</w:t>
      </w:r>
    </w:p>
    <w:p w14:paraId="49FF8A3F" w14:textId="3BA2ECF8" w:rsidR="00CF789D" w:rsidRPr="00283524" w:rsidRDefault="0089736F" w:rsidP="00453C04">
      <w:pPr>
        <w:pStyle w:val="Titre1"/>
      </w:pPr>
      <w:bookmarkStart w:id="27" w:name="_Toc7425934"/>
      <w:r>
        <w:t>Fiche </w:t>
      </w:r>
      <w:r w:rsidR="00CD541B">
        <w:t>7</w:t>
      </w:r>
      <w:r>
        <w:t xml:space="preserve"> : </w:t>
      </w:r>
      <w:r w:rsidR="00724F1E">
        <w:t>P</w:t>
      </w:r>
      <w:r w:rsidR="00892E0B">
        <w:t>ré</w:t>
      </w:r>
      <w:r w:rsidR="00F64F1E">
        <w:t>parer la phase de n</w:t>
      </w:r>
      <w:r w:rsidR="001774C1">
        <w:t>égociation</w:t>
      </w:r>
      <w:bookmarkEnd w:id="27"/>
    </w:p>
    <w:p w14:paraId="1B43F041" w14:textId="730638DF" w:rsidR="00283524" w:rsidRDefault="009B3581" w:rsidP="00980681">
      <w:pPr>
        <w:spacing w:after="120"/>
        <w:jc w:val="both"/>
      </w:pPr>
      <w:r>
        <w:t>L</w:t>
      </w:r>
      <w:r w:rsidR="00B34159" w:rsidRPr="00B34159">
        <w:t>es procédures formalisées de passation des marchés publics laissaient classiquement peu de marge de négociation</w:t>
      </w:r>
      <w:r w:rsidR="000C1460">
        <w:t xml:space="preserve"> des offres</w:t>
      </w:r>
      <w:r>
        <w:t xml:space="preserve">, </w:t>
      </w:r>
      <w:r w:rsidRPr="009B3581">
        <w:rPr>
          <w:i/>
        </w:rPr>
        <w:t>a</w:t>
      </w:r>
      <w:r w:rsidRPr="00177655">
        <w:rPr>
          <w:i/>
        </w:rPr>
        <w:t xml:space="preserve"> contrario</w:t>
      </w:r>
      <w:r w:rsidRPr="00177655">
        <w:t xml:space="preserve"> d</w:t>
      </w:r>
      <w:r>
        <w:t xml:space="preserve">es marchés à procédure adaptées. </w:t>
      </w:r>
      <w:r w:rsidR="00B34159" w:rsidRPr="00B34159">
        <w:t xml:space="preserve">Cependant, la transposition des directives </w:t>
      </w:r>
      <w:r w:rsidR="00631413">
        <w:t xml:space="preserve">en 2016 </w:t>
      </w:r>
      <w:r w:rsidR="00B34159" w:rsidRPr="00B34159">
        <w:t xml:space="preserve">a offert une </w:t>
      </w:r>
      <w:r w:rsidR="00B34159" w:rsidRPr="008534C3">
        <w:rPr>
          <w:b/>
        </w:rPr>
        <w:t>place plus large à la faculté</w:t>
      </w:r>
      <w:r w:rsidR="00B34159">
        <w:t xml:space="preserve"> pour les acheteurs</w:t>
      </w:r>
      <w:r w:rsidR="00B34159" w:rsidRPr="00B34159">
        <w:t xml:space="preserve"> </w:t>
      </w:r>
      <w:r w:rsidR="00B34159" w:rsidRPr="008534C3">
        <w:rPr>
          <w:b/>
        </w:rPr>
        <w:t>de négocier</w:t>
      </w:r>
      <w:r w:rsidR="007F4220">
        <w:t xml:space="preserve"> et </w:t>
      </w:r>
      <w:r w:rsidR="001C16FC">
        <w:t>ainsi</w:t>
      </w:r>
      <w:r w:rsidR="007F4220">
        <w:t xml:space="preserve"> de </w:t>
      </w:r>
      <w:r w:rsidR="00A62E4C">
        <w:t xml:space="preserve">mieux </w:t>
      </w:r>
      <w:r w:rsidR="007F4220">
        <w:t xml:space="preserve">faire </w:t>
      </w:r>
      <w:r w:rsidR="000C1460">
        <w:t xml:space="preserve">coïncider </w:t>
      </w:r>
      <w:r w:rsidR="007F4220">
        <w:t>les solutions techn</w:t>
      </w:r>
      <w:r w:rsidR="00A62E4C">
        <w:t>iques proposées</w:t>
      </w:r>
      <w:r w:rsidR="00353DE2">
        <w:t xml:space="preserve"> avec les besoins</w:t>
      </w:r>
      <w:r>
        <w:t>.</w:t>
      </w:r>
    </w:p>
    <w:p w14:paraId="774FB0EA" w14:textId="3356A119" w:rsidR="005A634E" w:rsidRDefault="009116EF" w:rsidP="002B71F8">
      <w:pPr>
        <w:spacing w:after="120"/>
        <w:jc w:val="both"/>
      </w:pPr>
      <w:r w:rsidRPr="009116EF">
        <w:rPr>
          <w:noProof/>
          <w:lang w:eastAsia="fr-FR"/>
        </w:rPr>
        <w:drawing>
          <wp:anchor distT="0" distB="0" distL="114300" distR="114300" simplePos="0" relativeHeight="251823104" behindDoc="1" locked="0" layoutInCell="1" allowOverlap="1" wp14:anchorId="1BB04E52" wp14:editId="292B153B">
            <wp:simplePos x="0" y="0"/>
            <wp:positionH relativeFrom="column">
              <wp:posOffset>5322409</wp:posOffset>
            </wp:positionH>
            <wp:positionV relativeFrom="paragraph">
              <wp:posOffset>31437</wp:posOffset>
            </wp:positionV>
            <wp:extent cx="361315" cy="361315"/>
            <wp:effectExtent l="0" t="0" r="635" b="635"/>
            <wp:wrapTight wrapText="bothSides">
              <wp:wrapPolygon edited="0">
                <wp:start x="0" y="0"/>
                <wp:lineTo x="0" y="20499"/>
                <wp:lineTo x="20499" y="20499"/>
                <wp:lineTo x="20499" y="0"/>
                <wp:lineTo x="0" y="0"/>
              </wp:wrapPolygon>
            </wp:wrapTight>
            <wp:docPr id="35" name="Image 35" descr="K:\1ESD\1C\COMMUN1C\06. OECP\3 - GT OECP\GT_acces-TPE-PME\Projet de guide\Icônes et schémas\human-resour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1ESD\1C\COMMUN1C\06. OECP\3 - GT OECP\GT_acces-TPE-PME\Projet de guide\Icônes et schémas\human-resources.png"/>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634E">
        <w:t xml:space="preserve">Les acheteurs sont désormais incités à échanger plus fréquemment avec les entreprises, que ce soit en amont de la procédure (cf. </w:t>
      </w:r>
      <w:hyperlink w:anchor="_Sourcing" w:history="1">
        <w:r w:rsidR="005A634E" w:rsidRPr="005A634E">
          <w:rPr>
            <w:rStyle w:val="Lienhypertexte"/>
          </w:rPr>
          <w:t>point dédié au sourcing</w:t>
        </w:r>
      </w:hyperlink>
      <w:r w:rsidR="005A634E">
        <w:t>), ou bien en cours de procédure, ce qui appelle au respect de certaines règles de droit mais aussi de déontologie</w:t>
      </w:r>
      <w:r w:rsidR="00C3289A">
        <w:rPr>
          <w:rStyle w:val="Appelnotedebasdep"/>
        </w:rPr>
        <w:footnoteReference w:id="27"/>
      </w:r>
      <w:r w:rsidR="005A634E">
        <w:t xml:space="preserve">. </w:t>
      </w:r>
    </w:p>
    <w:p w14:paraId="48151860" w14:textId="0DE4F709" w:rsidR="00164E75" w:rsidRPr="005A634E" w:rsidRDefault="005A634E" w:rsidP="002B71F8">
      <w:pPr>
        <w:pStyle w:val="Paragraphedeliste"/>
        <w:numPr>
          <w:ilvl w:val="0"/>
          <w:numId w:val="29"/>
        </w:numPr>
        <w:spacing w:before="0" w:after="60"/>
        <w:ind w:left="425" w:hanging="357"/>
        <w:contextualSpacing w:val="0"/>
        <w:jc w:val="both"/>
      </w:pPr>
      <w:r w:rsidRPr="005A634E">
        <w:t>A</w:t>
      </w:r>
      <w:r w:rsidR="00164E75" w:rsidRPr="005A634E">
        <w:t>u-dessus des seuils de procédure formalisée</w:t>
      </w:r>
      <w:r w:rsidR="00664FDB">
        <w:t xml:space="preserve">, la négociation est possible dans différents cas </w:t>
      </w:r>
      <w:r w:rsidR="00164E75" w:rsidRPr="005A634E">
        <w:t xml:space="preserve">: </w:t>
      </w:r>
    </w:p>
    <w:p w14:paraId="2E5F0032" w14:textId="41A27BD7" w:rsidR="00164E75" w:rsidRPr="00CF120A" w:rsidRDefault="00164E75" w:rsidP="002B71F8">
      <w:pPr>
        <w:pStyle w:val="Paragraphedeliste"/>
        <w:numPr>
          <w:ilvl w:val="0"/>
          <w:numId w:val="28"/>
        </w:numPr>
        <w:spacing w:before="0" w:after="60"/>
        <w:jc w:val="both"/>
      </w:pPr>
      <w:r w:rsidRPr="00CF120A">
        <w:t>la procédure av</w:t>
      </w:r>
      <w:r w:rsidR="005A634E" w:rsidRPr="00CF120A">
        <w:t>ec négociation, dont le principe même est d’améliorer le contenu des offres successives (à l’exception des offres finales) par la négociation ;</w:t>
      </w:r>
    </w:p>
    <w:p w14:paraId="6C54E520" w14:textId="0AA3398B" w:rsidR="00164E75" w:rsidRPr="00CF120A" w:rsidRDefault="00164E75" w:rsidP="002B71F8">
      <w:pPr>
        <w:pStyle w:val="Paragraphedeliste"/>
        <w:numPr>
          <w:ilvl w:val="0"/>
          <w:numId w:val="28"/>
        </w:numPr>
        <w:spacing w:before="0" w:after="60"/>
        <w:jc w:val="both"/>
      </w:pPr>
      <w:r w:rsidRPr="00CF120A">
        <w:t>le dialogue compétitif, qui doit permettre à la personne publique de déterminer avec les candidats l</w:t>
      </w:r>
      <w:r w:rsidR="00814051" w:rsidRPr="00CF120A">
        <w:t xml:space="preserve">a solution </w:t>
      </w:r>
      <w:r w:rsidR="007E07EC" w:rsidRPr="00CF120A">
        <w:t>tec</w:t>
      </w:r>
      <w:r w:rsidR="007E07EC">
        <w:t>hnique, juridique et/ou financiè</w:t>
      </w:r>
      <w:r w:rsidR="007E07EC" w:rsidRPr="00CF120A">
        <w:t>r</w:t>
      </w:r>
      <w:r w:rsidR="007E07EC">
        <w:t>e</w:t>
      </w:r>
      <w:r w:rsidR="007E07EC" w:rsidRPr="00CF120A">
        <w:t xml:space="preserve"> </w:t>
      </w:r>
      <w:r w:rsidR="00814051" w:rsidRPr="00CF120A">
        <w:t xml:space="preserve">la plus à même </w:t>
      </w:r>
      <w:r w:rsidRPr="00CF120A">
        <w:t>de répondre à son besoin</w:t>
      </w:r>
      <w:r w:rsidR="007E07EC">
        <w:t xml:space="preserve"> (qui doit être défini avec suffisamment de précisions) ;</w:t>
      </w:r>
    </w:p>
    <w:p w14:paraId="0FE6FD0E" w14:textId="2289347F" w:rsidR="00164E75" w:rsidRPr="00CF120A" w:rsidRDefault="009F77FF" w:rsidP="009F77FF">
      <w:pPr>
        <w:pStyle w:val="Paragraphedeliste"/>
        <w:numPr>
          <w:ilvl w:val="0"/>
          <w:numId w:val="28"/>
        </w:numPr>
        <w:spacing w:before="0" w:after="60"/>
        <w:jc w:val="both"/>
      </w:pPr>
      <w:r w:rsidRPr="00CF120A">
        <w:t>le marché sans publicité ni mise en concurrence préalables</w:t>
      </w:r>
      <w:r w:rsidR="00164E75" w:rsidRPr="00CF120A">
        <w:t>, dont l’emploi est strictement encadré par la jurisprudence</w:t>
      </w:r>
      <w:r w:rsidRPr="00CF120A">
        <w:t xml:space="preserve"> et par le code</w:t>
      </w:r>
      <w:r w:rsidRPr="00CF120A">
        <w:rPr>
          <w:rStyle w:val="Appelnotedebasdep"/>
        </w:rPr>
        <w:footnoteReference w:id="28"/>
      </w:r>
      <w:r w:rsidR="00164E75" w:rsidRPr="00CF120A">
        <w:t xml:space="preserve">; </w:t>
      </w:r>
    </w:p>
    <w:p w14:paraId="6BDE90BD" w14:textId="6C74F978" w:rsidR="00164E75" w:rsidRPr="00CF120A" w:rsidRDefault="00A91D94" w:rsidP="002B71F8">
      <w:pPr>
        <w:pStyle w:val="Paragraphedeliste"/>
        <w:numPr>
          <w:ilvl w:val="0"/>
          <w:numId w:val="28"/>
        </w:numPr>
        <w:spacing w:before="0" w:after="60"/>
        <w:ind w:left="714" w:hanging="357"/>
        <w:contextualSpacing w:val="0"/>
        <w:jc w:val="both"/>
      </w:pPr>
      <w:r w:rsidRPr="00CF120A">
        <w:t xml:space="preserve">les </w:t>
      </w:r>
      <w:r w:rsidR="00164E75" w:rsidRPr="00CF120A">
        <w:t xml:space="preserve">services sociaux et </w:t>
      </w:r>
      <w:r w:rsidRPr="00CF120A">
        <w:t xml:space="preserve">autres services </w:t>
      </w:r>
      <w:r w:rsidR="00164E75" w:rsidRPr="00CF120A">
        <w:t>spécifiques</w:t>
      </w:r>
      <w:r w:rsidRPr="00CF120A">
        <w:t>, qui mettent en œuvre une procédure adaptée, quel que soit le montant estimé du besoin</w:t>
      </w:r>
      <w:r w:rsidR="00164E75" w:rsidRPr="00CF120A">
        <w:t xml:space="preserve">. </w:t>
      </w:r>
    </w:p>
    <w:p w14:paraId="54639021" w14:textId="59DD84DE" w:rsidR="00164E75" w:rsidRPr="00164E75" w:rsidRDefault="00164E75" w:rsidP="002B71F8">
      <w:pPr>
        <w:spacing w:after="120"/>
        <w:jc w:val="both"/>
      </w:pPr>
      <w:r w:rsidRPr="00164E75">
        <w:t xml:space="preserve">Le champ de la négociation et ses modalités de mise en œuvre varient selon la procédure employée. Pour plus de détails, consulter les </w:t>
      </w:r>
      <w:hyperlink r:id="rId63" w:history="1">
        <w:r w:rsidRPr="00164E75">
          <w:rPr>
            <w:rStyle w:val="Lienhypertexte"/>
          </w:rPr>
          <w:t>fiches techniques de la DAJ</w:t>
        </w:r>
      </w:hyperlink>
      <w:r w:rsidRPr="00164E75">
        <w:t xml:space="preserve">. </w:t>
      </w:r>
    </w:p>
    <w:p w14:paraId="0A9D2A5E" w14:textId="374E4DA5" w:rsidR="00164E75" w:rsidRPr="002B0E0D" w:rsidRDefault="002B0E0D" w:rsidP="002B71F8">
      <w:pPr>
        <w:pStyle w:val="Paragraphedeliste"/>
        <w:numPr>
          <w:ilvl w:val="0"/>
          <w:numId w:val="29"/>
        </w:numPr>
        <w:spacing w:before="120" w:after="60"/>
        <w:ind w:left="426" w:hanging="357"/>
        <w:contextualSpacing w:val="0"/>
        <w:jc w:val="both"/>
      </w:pPr>
      <w:r w:rsidRPr="002B0E0D">
        <w:t>E</w:t>
      </w:r>
      <w:r w:rsidR="00164E75" w:rsidRPr="002B0E0D">
        <w:t>n-dessous des seuils de procédure formalisée</w:t>
      </w:r>
      <w:r w:rsidRPr="002B0E0D">
        <w:t>, la négociation est possible dans le cadre d’un marché à procédure adaptée</w:t>
      </w:r>
      <w:r w:rsidR="0020636D">
        <w:t xml:space="preserve"> (MAPA)</w:t>
      </w:r>
      <w:r w:rsidRPr="002B0E0D">
        <w:t>.</w:t>
      </w:r>
      <w:r w:rsidR="00164E75" w:rsidRPr="002B0E0D">
        <w:t xml:space="preserve"> </w:t>
      </w:r>
    </w:p>
    <w:p w14:paraId="2781C957" w14:textId="1CEDE0E0" w:rsidR="00164E75" w:rsidRPr="00164E75" w:rsidRDefault="00664FDB" w:rsidP="002B71F8">
      <w:pPr>
        <w:spacing w:before="60" w:after="40"/>
        <w:jc w:val="both"/>
      </w:pPr>
      <w:r w:rsidRPr="00922262">
        <w:rPr>
          <w:rStyle w:val="Lienhypertexte"/>
          <w:noProof/>
          <w:szCs w:val="23"/>
          <w:lang w:eastAsia="fr-FR"/>
        </w:rPr>
        <w:drawing>
          <wp:anchor distT="0" distB="0" distL="114300" distR="114300" simplePos="0" relativeHeight="251794432" behindDoc="0" locked="0" layoutInCell="1" allowOverlap="1" wp14:anchorId="6CD8AC1E" wp14:editId="258F2D62">
            <wp:simplePos x="0" y="0"/>
            <wp:positionH relativeFrom="margin">
              <wp:posOffset>49530</wp:posOffset>
            </wp:positionH>
            <wp:positionV relativeFrom="paragraph">
              <wp:posOffset>17145</wp:posOffset>
            </wp:positionV>
            <wp:extent cx="381635" cy="381635"/>
            <wp:effectExtent l="0" t="0" r="0" b="0"/>
            <wp:wrapSquare wrapText="bothSides"/>
            <wp:docPr id="36" name="Image 36" descr="K:\1ESD\1C\COMMUN1C\06. OECP\3 - GT OECP\GT_acces-TPE-PME\Projet de guide\Icônes\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1ESD\1C\COMMUN1C\06. OECP\3 - GT OECP\GT_acces-TPE-PME\Projet de guide\Icônes\book.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flipH="1">
                      <a:off x="0" y="0"/>
                      <a:ext cx="381635" cy="381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4E75" w:rsidRPr="00164E75">
        <w:t>Selon l’article R</w:t>
      </w:r>
      <w:r>
        <w:t>.</w:t>
      </w:r>
      <w:r w:rsidR="00164E75" w:rsidRPr="00164E75">
        <w:t xml:space="preserve"> 2123-4 du CCP, les MAPA sont les marchés qui, en raison de leur montant ou de leur objet, peuvent faire l’objet de modalités de procédure librement choisies en fonction de la nature et des caractéristiques du besoin à satisfaire, du nombre ou de la localisation des opérateurs économiques susceptibles d’y répondre ainsi q</w:t>
      </w:r>
      <w:r w:rsidR="00164E75">
        <w:t>ue des circonstances de l'achat</w:t>
      </w:r>
      <w:r w:rsidR="00164E75" w:rsidRPr="00164E75">
        <w:t xml:space="preserve">. </w:t>
      </w:r>
    </w:p>
    <w:p w14:paraId="051E8034" w14:textId="0CEA620E" w:rsidR="00164E75" w:rsidRPr="00142ADA" w:rsidRDefault="00B3470F" w:rsidP="002B71F8">
      <w:pPr>
        <w:spacing w:before="60" w:after="120"/>
        <w:jc w:val="both"/>
      </w:pPr>
      <w:r w:rsidRPr="00142ADA">
        <w:rPr>
          <w:color w:val="FF0000"/>
        </w:rPr>
        <w:t xml:space="preserve">Les MAPA constituent la </w:t>
      </w:r>
      <w:r w:rsidR="00C45779">
        <w:rPr>
          <w:color w:val="FF0000"/>
        </w:rPr>
        <w:t xml:space="preserve">grande </w:t>
      </w:r>
      <w:r w:rsidRPr="00142ADA">
        <w:rPr>
          <w:color w:val="FF0000"/>
        </w:rPr>
        <w:t xml:space="preserve">majorité des procédures de marchés publics et revêtent donc une certaine importance pour l’appropriation de la négociation par les acheteurs. </w:t>
      </w:r>
    </w:p>
    <w:p w14:paraId="1DA03434" w14:textId="0F5D51B4" w:rsidR="00664FDB" w:rsidRDefault="00664FDB" w:rsidP="00664FDB">
      <w:pPr>
        <w:spacing w:after="120"/>
        <w:jc w:val="both"/>
      </w:pPr>
      <w:r>
        <w:t xml:space="preserve">Pour les achats </w:t>
      </w:r>
      <w:r w:rsidR="00282920">
        <w:t xml:space="preserve">dont la valeur estimée du besoin est </w:t>
      </w:r>
      <w:r>
        <w:t>inférieur</w:t>
      </w:r>
      <w:r w:rsidR="00282920">
        <w:t>e</w:t>
      </w:r>
      <w:r>
        <w:t xml:space="preserve"> à </w:t>
      </w:r>
      <w:r w:rsidRPr="00075F68">
        <w:t>25 000 € HT</w:t>
      </w:r>
      <w:r>
        <w:t xml:space="preserve">, l’acheteur est dispensé des obligations de publicité et de mise en concurrence, mais doit veiller à assurer une utilisation optimale des deniers publics, en </w:t>
      </w:r>
      <w:r w:rsidR="00115DD6">
        <w:t xml:space="preserve">comparant </w:t>
      </w:r>
      <w:r>
        <w:t xml:space="preserve">dans la mesure du possible </w:t>
      </w:r>
      <w:r w:rsidR="00115DD6">
        <w:t>plusieurs</w:t>
      </w:r>
      <w:r>
        <w:t xml:space="preserve"> prestataires (demande de devis ou consultation de catalogues en ligne, par exemple). </w:t>
      </w:r>
    </w:p>
    <w:p w14:paraId="25FF6238" w14:textId="61F8DA4B" w:rsidR="00664FDB" w:rsidRDefault="00664FDB" w:rsidP="00664FDB">
      <w:pPr>
        <w:spacing w:after="120"/>
        <w:jc w:val="both"/>
      </w:pPr>
      <w:r w:rsidRPr="00075F68">
        <w:t xml:space="preserve">Pour les achats </w:t>
      </w:r>
      <w:r>
        <w:t xml:space="preserve">d’un montant supérieur à </w:t>
      </w:r>
      <w:r w:rsidRPr="00075F68">
        <w:t>25 000 € HT</w:t>
      </w:r>
      <w:r>
        <w:t xml:space="preserve">, l’acheteur doit formuler son besoin </w:t>
      </w:r>
      <w:r w:rsidR="00115DD6">
        <w:t xml:space="preserve">par écrit, </w:t>
      </w:r>
      <w:r>
        <w:t xml:space="preserve">ainsi que les règles principales de la consultation (ex : critères de sélection…) et en assurer une publicité proportionnée à l’enjeu du marché (ex : profil d’acheteur, journal d’annonce légal, BOAMP…). </w:t>
      </w:r>
    </w:p>
    <w:p w14:paraId="327852D1" w14:textId="77777777" w:rsidR="00164E75" w:rsidRDefault="00164E75" w:rsidP="00241E1B">
      <w:pPr>
        <w:pStyle w:val="Encart"/>
        <w:spacing w:after="60" w:line="276" w:lineRule="auto"/>
      </w:pPr>
      <w:r>
        <w:t xml:space="preserve">Les MAPA </w:t>
      </w:r>
      <w:r w:rsidRPr="007A1AA7">
        <w:t xml:space="preserve">offrent </w:t>
      </w:r>
      <w:r>
        <w:t>ainsi une</w:t>
      </w:r>
      <w:r w:rsidRPr="007A1AA7">
        <w:t xml:space="preserve"> </w:t>
      </w:r>
      <w:r>
        <w:t>souplesse</w:t>
      </w:r>
      <w:r w:rsidRPr="007A1AA7">
        <w:t xml:space="preserve"> </w:t>
      </w:r>
      <w:r>
        <w:t xml:space="preserve">procédurale </w:t>
      </w:r>
      <w:r w:rsidRPr="007A1AA7">
        <w:t>aux acheteurs</w:t>
      </w:r>
      <w:r>
        <w:t xml:space="preserve">, qui peuvent </w:t>
      </w:r>
      <w:r w:rsidRPr="00155448">
        <w:rPr>
          <w:b/>
        </w:rPr>
        <w:t xml:space="preserve">négocier </w:t>
      </w:r>
      <w:r w:rsidRPr="00155448">
        <w:t>les offres</w:t>
      </w:r>
      <w:r w:rsidRPr="00155448">
        <w:rPr>
          <w:b/>
        </w:rPr>
        <w:t xml:space="preserve"> tant sur le plan </w:t>
      </w:r>
      <w:r>
        <w:rPr>
          <w:b/>
        </w:rPr>
        <w:t>financier</w:t>
      </w:r>
      <w:r w:rsidRPr="00155448">
        <w:rPr>
          <w:b/>
        </w:rPr>
        <w:t xml:space="preserve"> que qualitatif</w:t>
      </w:r>
      <w:r>
        <w:t xml:space="preserve">, dès lors qu’ils ont annoncé cette possibilité dès le départ. </w:t>
      </w:r>
    </w:p>
    <w:p w14:paraId="4D0DFB89" w14:textId="2C9BC0B7" w:rsidR="00164E75" w:rsidRPr="007A1AA7" w:rsidRDefault="00241E1B" w:rsidP="00241E1B">
      <w:pPr>
        <w:pStyle w:val="Encart"/>
        <w:spacing w:before="60" w:line="276" w:lineRule="auto"/>
      </w:pPr>
      <w:r>
        <w:lastRenderedPageBreak/>
        <w:t xml:space="preserve">L’attention des acheteurs est cependant appelée sur les préconisations suivantes : penser le besoin de façon fonctionnelle, autoriser les variantes, laisser le temps nécessaire aux opérateurs pour formuler une réponse bien construite, ne pas focaliser les négociations sur le seul aspect prix. </w:t>
      </w:r>
      <w:r w:rsidR="00164E75">
        <w:t xml:space="preserve"> </w:t>
      </w:r>
    </w:p>
    <w:p w14:paraId="288D2E14" w14:textId="2252EA82" w:rsidR="00164E75" w:rsidRPr="00164E75" w:rsidRDefault="00164E75" w:rsidP="002B71F8">
      <w:pPr>
        <w:spacing w:after="60"/>
        <w:jc w:val="both"/>
      </w:pPr>
      <w:r w:rsidRPr="009C5624">
        <w:rPr>
          <w:noProof/>
          <w:lang w:eastAsia="fr-FR"/>
        </w:rPr>
        <w:drawing>
          <wp:anchor distT="0" distB="0" distL="114300" distR="114300" simplePos="0" relativeHeight="251740160" behindDoc="0" locked="0" layoutInCell="1" allowOverlap="1" wp14:anchorId="336ABFC0" wp14:editId="0FEFB0E1">
            <wp:simplePos x="0" y="0"/>
            <wp:positionH relativeFrom="margin">
              <wp:align>right</wp:align>
            </wp:positionH>
            <wp:positionV relativeFrom="paragraph">
              <wp:posOffset>6824</wp:posOffset>
            </wp:positionV>
            <wp:extent cx="320723" cy="320723"/>
            <wp:effectExtent l="0" t="0" r="3175" b="3175"/>
            <wp:wrapSquare wrapText="bothSides"/>
            <wp:docPr id="10" name="Image 10" descr="K:\1ESD\1C\COMMUN1C\11. Innovation\GT guide achats innovants\Projet de guide\Icônes\war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1ESD\1C\COMMUN1C\11. Innovation\GT guide achats innovants\Projet de guide\Icônes\warning.png"/>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20723" cy="320723"/>
                    </a:xfrm>
                    <a:prstGeom prst="rect">
                      <a:avLst/>
                    </a:prstGeom>
                    <a:noFill/>
                    <a:ln>
                      <a:noFill/>
                    </a:ln>
                  </pic:spPr>
                </pic:pic>
              </a:graphicData>
            </a:graphic>
            <wp14:sizeRelH relativeFrom="page">
              <wp14:pctWidth>0</wp14:pctWidth>
            </wp14:sizeRelH>
            <wp14:sizeRelV relativeFrom="page">
              <wp14:pctHeight>0</wp14:pctHeight>
            </wp14:sizeRelV>
          </wp:anchor>
        </w:drawing>
      </w:r>
      <w:r w:rsidR="00814051">
        <w:t xml:space="preserve">Quelle que soit la procédure mise en œuvre, </w:t>
      </w:r>
      <w:r w:rsidR="007F7DE3">
        <w:t xml:space="preserve">formalisée ou adaptée, </w:t>
      </w:r>
      <w:r w:rsidRPr="00164E75">
        <w:t>la négociation semble désormais plus prisée, car permettant une optimisation des offres par le dialogue</w:t>
      </w:r>
      <w:r w:rsidR="007F7DE3">
        <w:t xml:space="preserve">. Cependant, </w:t>
      </w:r>
      <w:r w:rsidRPr="00164E75">
        <w:t xml:space="preserve">un certain nombre de </w:t>
      </w:r>
      <w:r w:rsidRPr="00164E75">
        <w:rPr>
          <w:b/>
        </w:rPr>
        <w:t>risques</w:t>
      </w:r>
      <w:r w:rsidRPr="00164E75">
        <w:t xml:space="preserve"> peuvent être identifiés lors de cette phase : non-respect</w:t>
      </w:r>
      <w:r w:rsidR="008D41E7">
        <w:t xml:space="preserve"> – même involontaire –</w:t>
      </w:r>
      <w:r w:rsidRPr="00164E75">
        <w:t xml:space="preserve"> des grands principes de la commande publique (liberté d’accès, égalité de traitement des candidats et transparence) ou du secret </w:t>
      </w:r>
      <w:r w:rsidR="00241E1B">
        <w:t xml:space="preserve">des affaires, </w:t>
      </w:r>
      <w:r w:rsidRPr="00164E75">
        <w:t xml:space="preserve">finalisation du besoin en cours de procédure, </w:t>
      </w:r>
      <w:r w:rsidR="008D41E7">
        <w:t>pression sur le p</w:t>
      </w:r>
      <w:r w:rsidRPr="00164E75">
        <w:t>rix plutôt qu</w:t>
      </w:r>
      <w:r w:rsidR="008D41E7">
        <w:t xml:space="preserve">e </w:t>
      </w:r>
      <w:r w:rsidRPr="00164E75">
        <w:t xml:space="preserve">discussion qualitative, dérives calendaires, etc. </w:t>
      </w:r>
    </w:p>
    <w:p w14:paraId="4B2D885C" w14:textId="005E6A39" w:rsidR="00164E75" w:rsidRPr="00164E75" w:rsidRDefault="00164E75" w:rsidP="002B71F8">
      <w:pPr>
        <w:spacing w:after="60"/>
        <w:jc w:val="both"/>
      </w:pPr>
      <w:r w:rsidRPr="006D739D">
        <w:rPr>
          <w:noProof/>
          <w:lang w:eastAsia="fr-FR"/>
        </w:rPr>
        <w:drawing>
          <wp:anchor distT="0" distB="0" distL="114300" distR="114300" simplePos="0" relativeHeight="251742208" behindDoc="0" locked="0" layoutInCell="1" allowOverlap="1" wp14:anchorId="220CC340" wp14:editId="49F5B616">
            <wp:simplePos x="0" y="0"/>
            <wp:positionH relativeFrom="margin">
              <wp:align>left</wp:align>
            </wp:positionH>
            <wp:positionV relativeFrom="paragraph">
              <wp:posOffset>67310</wp:posOffset>
            </wp:positionV>
            <wp:extent cx="387985" cy="352425"/>
            <wp:effectExtent l="0" t="0" r="0" b="9525"/>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89780" cy="354105"/>
                    </a:xfrm>
                    <a:prstGeom prst="rect">
                      <a:avLst/>
                    </a:prstGeom>
                  </pic:spPr>
                </pic:pic>
              </a:graphicData>
            </a:graphic>
            <wp14:sizeRelH relativeFrom="page">
              <wp14:pctWidth>0</wp14:pctWidth>
            </wp14:sizeRelH>
            <wp14:sizeRelV relativeFrom="page">
              <wp14:pctHeight>0</wp14:pctHeight>
            </wp14:sizeRelV>
          </wp:anchor>
        </w:drawing>
      </w:r>
      <w:r w:rsidRPr="00164E75">
        <w:t xml:space="preserve">Une </w:t>
      </w:r>
      <w:r w:rsidRPr="00164E75">
        <w:rPr>
          <w:b/>
        </w:rPr>
        <w:t>bonne préparation de la négociation</w:t>
      </w:r>
      <w:r w:rsidRPr="00164E75">
        <w:t xml:space="preserve"> doit permettre d’éviter ces écueils, notamment par le recours à la collégialité et à la traçabilité des échanges (dans la mesure où le montant du besoin le requiert). Par exemple, la communication d’une liste </w:t>
      </w:r>
      <w:r w:rsidR="00241E1B" w:rsidRPr="00164E75">
        <w:t>analogue</w:t>
      </w:r>
      <w:r w:rsidRPr="00164E75">
        <w:t xml:space="preserve"> de questions adressées à l’ensemble des candidats, l’utilisation de comptes rendus ou l’établissement d’une grille de négociation, peut s’avérer utile, afin de faciliter le suivi et le choix final de l’offre. </w:t>
      </w:r>
    </w:p>
    <w:p w14:paraId="2CD51C1F" w14:textId="1838FD33" w:rsidR="00164E75" w:rsidRDefault="00164E75" w:rsidP="002B71F8">
      <w:pPr>
        <w:spacing w:after="120"/>
        <w:jc w:val="both"/>
      </w:pPr>
      <w:r w:rsidRPr="00164E75">
        <w:t xml:space="preserve">Cette documentation permettra de prouver, le cas échéant, que l’ensemble des candidats a été invité à négocier sur les mêmes critères et </w:t>
      </w:r>
      <w:r w:rsidR="00FB030A">
        <w:t>dans des conditions identiques.</w:t>
      </w:r>
    </w:p>
    <w:p w14:paraId="6FF1F988" w14:textId="6293AE7C" w:rsidR="006C1FA8" w:rsidRDefault="001007B1" w:rsidP="002B71F8">
      <w:pPr>
        <w:spacing w:after="120"/>
        <w:jc w:val="both"/>
      </w:pPr>
      <w:r w:rsidRPr="00241E1B">
        <w:t>L’</w:t>
      </w:r>
      <w:r w:rsidR="001676C1" w:rsidRPr="00241E1B">
        <w:t>éventuelle</w:t>
      </w:r>
      <w:r w:rsidR="006C1FA8" w:rsidRPr="00241E1B">
        <w:t xml:space="preserve"> limitation du</w:t>
      </w:r>
      <w:r w:rsidR="006C1FA8" w:rsidRPr="001676C1">
        <w:rPr>
          <w:b/>
        </w:rPr>
        <w:t xml:space="preserve"> nombre de tour</w:t>
      </w:r>
      <w:r w:rsidR="001676C1" w:rsidRPr="001676C1">
        <w:rPr>
          <w:b/>
        </w:rPr>
        <w:t>s</w:t>
      </w:r>
      <w:r w:rsidR="001676C1">
        <w:t xml:space="preserve"> de négociation </w:t>
      </w:r>
      <w:r>
        <w:t xml:space="preserve">et son </w:t>
      </w:r>
      <w:r w:rsidR="001676C1">
        <w:t xml:space="preserve">indication </w:t>
      </w:r>
      <w:r w:rsidR="006C1FA8">
        <w:t>dans le</w:t>
      </w:r>
      <w:r>
        <w:t xml:space="preserve">s documents de la consultation </w:t>
      </w:r>
      <w:r w:rsidR="003772E4" w:rsidRPr="008F10CC">
        <w:t>relève</w:t>
      </w:r>
      <w:r>
        <w:t>nt</w:t>
      </w:r>
      <w:r w:rsidR="003772E4" w:rsidRPr="008F10CC">
        <w:t xml:space="preserve"> de la liberté de l’</w:t>
      </w:r>
      <w:r w:rsidR="008F10CC">
        <w:t xml:space="preserve">acheteur, </w:t>
      </w:r>
      <w:r w:rsidR="003772E4" w:rsidRPr="008F10CC">
        <w:t>de la procédure considérée</w:t>
      </w:r>
      <w:r w:rsidR="008F10CC" w:rsidRPr="008F10CC">
        <w:t xml:space="preserve">, </w:t>
      </w:r>
      <w:r w:rsidR="008F10CC">
        <w:t>du niveau des o</w:t>
      </w:r>
      <w:r w:rsidR="00241E1B">
        <w:t>ffres dès le premier tour, etc. L</w:t>
      </w:r>
      <w:r w:rsidR="008F10CC">
        <w:t xml:space="preserve">’essentiel </w:t>
      </w:r>
      <w:r w:rsidR="00241E1B">
        <w:t>est</w:t>
      </w:r>
      <w:r w:rsidR="008F10CC">
        <w:t xml:space="preserve"> de ne</w:t>
      </w:r>
      <w:r w:rsidR="008F10CC" w:rsidRPr="008F10CC">
        <w:t xml:space="preserve"> pas </w:t>
      </w:r>
      <w:r w:rsidR="008F10CC">
        <w:t xml:space="preserve">perdre </w:t>
      </w:r>
      <w:r w:rsidR="008F10CC" w:rsidRPr="008F10CC">
        <w:t xml:space="preserve">de vue le </w:t>
      </w:r>
      <w:r w:rsidR="006C1FA8" w:rsidRPr="008F10CC">
        <w:t>souci de maitrise</w:t>
      </w:r>
      <w:r w:rsidR="008F10CC" w:rsidRPr="008F10CC">
        <w:t xml:space="preserve"> des plans de charges respectifs (et le coût induit pour les entreprises participantes).</w:t>
      </w:r>
      <w:r w:rsidR="008F10CC">
        <w:t xml:space="preserve"> </w:t>
      </w:r>
      <w:r w:rsidR="00241E1B" w:rsidRPr="00044199">
        <w:t>Une bonne pratique peut consister à annoncer aux candidats le dernier tour, afin de leur permettre de consolider leur proposition en connaissance de cause.</w:t>
      </w:r>
    </w:p>
    <w:p w14:paraId="4A3CC171" w14:textId="26F00F9D" w:rsidR="008C40DB" w:rsidRDefault="008C40DB" w:rsidP="002B71F8">
      <w:pPr>
        <w:spacing w:after="120"/>
        <w:jc w:val="both"/>
      </w:pPr>
      <w:r w:rsidRPr="008C40DB">
        <w:t xml:space="preserve">L’acheteur peut aussi se réserver la possibilité d’attribuer le marché public sur la base des offres initiales sans négociation, à condition de l’avoir prévu initialement. </w:t>
      </w:r>
      <w:r w:rsidR="00D67FCD">
        <w:t>Toutefois</w:t>
      </w:r>
      <w:r w:rsidRPr="008C40DB">
        <w:t>, le signal ainsi envoyé aux entreprises peut être contre-productif, celles-ci estimant généralement qu’un tour de présentation (« soutenance ») de leur solution est nécessaire à la bonne appréciation de sa plus-value.</w:t>
      </w:r>
    </w:p>
    <w:p w14:paraId="311DA52C" w14:textId="6D3BD3A8" w:rsidR="00957F59" w:rsidRDefault="00957F59" w:rsidP="002B71F8">
      <w:pPr>
        <w:spacing w:after="0"/>
        <w:jc w:val="both"/>
      </w:pPr>
      <w:r>
        <w:t xml:space="preserve">Enfin, au vu de l’investissement que peuvent représenter plusieurs tours d’échanges (en dialogue compétitif principalement) jusqu’à identification de la solution, le </w:t>
      </w:r>
      <w:r w:rsidRPr="00A85745">
        <w:rPr>
          <w:b/>
        </w:rPr>
        <w:t>versement d’une prime</w:t>
      </w:r>
      <w:r>
        <w:t xml:space="preserve"> peut s’avérer nécessaire et doit être justement proportionné à l’effort demandé</w:t>
      </w:r>
      <w:r>
        <w:rPr>
          <w:rStyle w:val="Appelnotedebasdep"/>
        </w:rPr>
        <w:footnoteReference w:id="29"/>
      </w:r>
      <w:r>
        <w:t>. Prévoir une indemnisation</w:t>
      </w:r>
      <w:r w:rsidRPr="001B6D2E">
        <w:t xml:space="preserve"> peut</w:t>
      </w:r>
      <w:r>
        <w:t xml:space="preserve"> contribuer à</w:t>
      </w:r>
      <w:r w:rsidR="0095169C">
        <w:t xml:space="preserve"> attirer les entreprises qui </w:t>
      </w:r>
      <w:r w:rsidRPr="001B6D2E">
        <w:t xml:space="preserve">ne disposeraient pas de moyens importants à investir sans garantie de succès. </w:t>
      </w:r>
    </w:p>
    <w:p w14:paraId="2AD43B95" w14:textId="5BB72740" w:rsidR="0002357D" w:rsidRDefault="006E40D7" w:rsidP="002B71F8">
      <w:pPr>
        <w:pStyle w:val="Encart"/>
        <w:spacing w:after="60" w:line="276" w:lineRule="auto"/>
      </w:pPr>
      <w:r>
        <w:t>En synthèse, i</w:t>
      </w:r>
      <w:r w:rsidR="00F432D2">
        <w:t xml:space="preserve">l est nécessaire que les acheteurs </w:t>
      </w:r>
      <w:r w:rsidR="008C68E4">
        <w:t xml:space="preserve">et prescripteurs </w:t>
      </w:r>
      <w:r w:rsidR="00F432D2">
        <w:t xml:space="preserve">soient formés aux </w:t>
      </w:r>
      <w:r w:rsidR="00F432D2" w:rsidRPr="005F643A">
        <w:rPr>
          <w:b/>
        </w:rPr>
        <w:t>techniques de négociation</w:t>
      </w:r>
      <w:r w:rsidR="00F432D2">
        <w:t>, qui requièrent une compétence particulière</w:t>
      </w:r>
      <w:r>
        <w:t xml:space="preserve">, </w:t>
      </w:r>
      <w:r w:rsidR="00617046">
        <w:t xml:space="preserve">une connaissance du cadre juridique, </w:t>
      </w:r>
      <w:r>
        <w:t>ainsi qu’une certaine anticipation</w:t>
      </w:r>
      <w:r w:rsidR="008D41E7">
        <w:t>.</w:t>
      </w:r>
      <w:r w:rsidR="00F432D2">
        <w:t xml:space="preserve"> </w:t>
      </w:r>
    </w:p>
    <w:p w14:paraId="7EEEF256" w14:textId="56986903" w:rsidR="0002357D" w:rsidRDefault="008F10CC" w:rsidP="002B71F8">
      <w:pPr>
        <w:tabs>
          <w:tab w:val="left" w:pos="2201"/>
        </w:tabs>
        <w:spacing w:after="120"/>
      </w:pPr>
      <w:r>
        <w:tab/>
      </w:r>
    </w:p>
    <w:p w14:paraId="46D289DF" w14:textId="77777777" w:rsidR="00957F59" w:rsidRDefault="00957F59">
      <w:pPr>
        <w:rPr>
          <w:b/>
          <w:caps/>
          <w:color w:val="FFFFFF" w:themeColor="background1"/>
          <w:spacing w:val="15"/>
          <w:sz w:val="22"/>
          <w:szCs w:val="22"/>
        </w:rPr>
      </w:pPr>
      <w:r>
        <w:br w:type="page"/>
      </w:r>
    </w:p>
    <w:p w14:paraId="09EEF5B2" w14:textId="5F72AC2E" w:rsidR="00B82771" w:rsidRDefault="00B82771" w:rsidP="00CD541B">
      <w:pPr>
        <w:pStyle w:val="Titre1"/>
        <w:spacing w:after="240"/>
      </w:pPr>
      <w:bookmarkStart w:id="28" w:name="_Fiche_8_:"/>
      <w:bookmarkStart w:id="29" w:name="_Toc7425935"/>
      <w:bookmarkEnd w:id="28"/>
      <w:r>
        <w:lastRenderedPageBreak/>
        <w:t xml:space="preserve">Fiche </w:t>
      </w:r>
      <w:r w:rsidR="00CD541B">
        <w:t>8</w:t>
      </w:r>
      <w:r>
        <w:t xml:space="preserve"> : </w:t>
      </w:r>
      <w:r w:rsidR="00FA22C7">
        <w:t>Garantir la c</w:t>
      </w:r>
      <w:r>
        <w:t>onfidentialité des offres</w:t>
      </w:r>
      <w:bookmarkEnd w:id="29"/>
    </w:p>
    <w:p w14:paraId="5A4E292F" w14:textId="00516564" w:rsidR="005C6427" w:rsidRPr="00042FEA" w:rsidRDefault="005C6427" w:rsidP="005C6427">
      <w:pPr>
        <w:spacing w:after="120"/>
        <w:jc w:val="both"/>
      </w:pPr>
      <w:r w:rsidRPr="005C6427">
        <w:t xml:space="preserve">Lors des procédures de passation des marchés publics, en amont ou durant leur exécution, de </w:t>
      </w:r>
      <w:r w:rsidRPr="005C6427">
        <w:rPr>
          <w:b/>
        </w:rPr>
        <w:t>nombreuses données</w:t>
      </w:r>
      <w:r w:rsidRPr="005C6427">
        <w:t xml:space="preserve"> sont </w:t>
      </w:r>
      <w:r w:rsidRPr="005C6427">
        <w:rPr>
          <w:b/>
        </w:rPr>
        <w:t>échangées</w:t>
      </w:r>
      <w:r w:rsidR="009D65DA">
        <w:t xml:space="preserve"> entre les personnes publique</w:t>
      </w:r>
      <w:r w:rsidRPr="005C6427">
        <w:t>s et les opérateurs économiques. Si certaines données sont publiques, d’autres ont une teneur confidentielle et ne doivent pas être révélée</w:t>
      </w:r>
      <w:r w:rsidR="009D550D">
        <w:t>s</w:t>
      </w:r>
      <w:r w:rsidRPr="005C6427">
        <w:t xml:space="preserve"> à des personnes qui ne sont pas habilitées à les recevoir. </w:t>
      </w:r>
    </w:p>
    <w:p w14:paraId="5CFC3110" w14:textId="56574DFF" w:rsidR="00F00058" w:rsidRDefault="00042FEA" w:rsidP="00F00058">
      <w:pPr>
        <w:spacing w:after="120"/>
        <w:jc w:val="both"/>
      </w:pPr>
      <w:r>
        <w:t>Le</w:t>
      </w:r>
      <w:r w:rsidR="00F00058">
        <w:t xml:space="preserve"> principe de </w:t>
      </w:r>
      <w:r w:rsidR="001815F7">
        <w:t>confidentialité est prévu</w:t>
      </w:r>
      <w:r>
        <w:t xml:space="preserve"> en </w:t>
      </w:r>
      <w:r w:rsidR="00CB0AFF">
        <w:t xml:space="preserve">droit européen </w:t>
      </w:r>
      <w:r w:rsidR="009577A9">
        <w:t xml:space="preserve">à l’article </w:t>
      </w:r>
      <w:r w:rsidR="00F00058">
        <w:t xml:space="preserve">21 de la directive 2014/24/UE </w:t>
      </w:r>
      <w:r w:rsidR="009577A9">
        <w:t>(</w:t>
      </w:r>
      <w:r w:rsidR="00F00058">
        <w:t>et 39 de la directive 2014/25/UE</w:t>
      </w:r>
      <w:r w:rsidR="009577A9">
        <w:t>), qui pose le fait que « </w:t>
      </w:r>
      <w:r w:rsidR="009577A9" w:rsidRPr="009577A9">
        <w:rPr>
          <w:i/>
        </w:rPr>
        <w:t>le pouvoir adjudicateur ne divulgue pas les renseignements que les opérateurs économiques lui ont communiqués à titre confidentiel, y compris, entre autres, les secrets techniques ou commerciaux et les aspects confidentiels des offres</w:t>
      </w:r>
      <w:r w:rsidR="009577A9" w:rsidRPr="009577A9">
        <w:t> ».</w:t>
      </w:r>
      <w:r w:rsidR="00F00058">
        <w:t xml:space="preserve"> </w:t>
      </w:r>
    </w:p>
    <w:p w14:paraId="51F321C8" w14:textId="09327EB7" w:rsidR="00F00058" w:rsidRDefault="00F00058" w:rsidP="00F00058">
      <w:pPr>
        <w:spacing w:after="120"/>
        <w:jc w:val="both"/>
      </w:pPr>
      <w:r w:rsidRPr="00922262">
        <w:rPr>
          <w:rStyle w:val="Lienhypertexte"/>
          <w:noProof/>
          <w:szCs w:val="23"/>
          <w:lang w:eastAsia="fr-FR"/>
        </w:rPr>
        <w:drawing>
          <wp:anchor distT="0" distB="0" distL="114300" distR="114300" simplePos="0" relativeHeight="251764736" behindDoc="0" locked="0" layoutInCell="1" allowOverlap="1" wp14:anchorId="33EFA871" wp14:editId="066B4F90">
            <wp:simplePos x="0" y="0"/>
            <wp:positionH relativeFrom="margin">
              <wp:align>left</wp:align>
            </wp:positionH>
            <wp:positionV relativeFrom="paragraph">
              <wp:posOffset>4445</wp:posOffset>
            </wp:positionV>
            <wp:extent cx="335915" cy="335915"/>
            <wp:effectExtent l="0" t="0" r="6985" b="6985"/>
            <wp:wrapSquare wrapText="bothSides"/>
            <wp:docPr id="31" name="Image 31" descr="K:\1ESD\1C\COMMUN1C\06. OECP\3 - GT OECP\GT_acces-TPE-PME\Projet de guide\Icônes\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1ESD\1C\COMMUN1C\06. OECP\3 - GT OECP\GT_acces-TPE-PME\Projet de guide\Icônes\book.png"/>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flipH="1">
                      <a:off x="0" y="0"/>
                      <a:ext cx="335915" cy="33591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Ce principe est repris </w:t>
      </w:r>
      <w:r w:rsidR="00B12AF0">
        <w:t>à l</w:t>
      </w:r>
      <w:r w:rsidR="009577A9">
        <w:t xml:space="preserve">’article L. </w:t>
      </w:r>
      <w:r w:rsidR="00B12AF0" w:rsidRPr="00B12AF0">
        <w:t xml:space="preserve">2132-1 du code de la commande publique qui dispose : « </w:t>
      </w:r>
      <w:r w:rsidR="00B12AF0" w:rsidRPr="00B12AF0">
        <w:rPr>
          <w:i/>
        </w:rPr>
        <w:t xml:space="preserve">l'acheteur ne peut communiquer les informations confidentielles dont il a eu connaissance lors de la procédure de passation, telles que celles dont la divulgation violerait le secret des affaires, ou celles dont la communication pourrait nuire à une concurrence loyale entre les opérateurs économiques, telle que la communication en cours de consultation du montant total ou du prix détaillé des offres </w:t>
      </w:r>
      <w:r w:rsidR="00B12AF0" w:rsidRPr="00B12AF0">
        <w:t>».</w:t>
      </w:r>
    </w:p>
    <w:p w14:paraId="7763CFDE" w14:textId="4E5207B6" w:rsidR="00F00058" w:rsidRDefault="00F00058" w:rsidP="00F00058">
      <w:pPr>
        <w:spacing w:after="120"/>
        <w:jc w:val="both"/>
      </w:pPr>
      <w:r>
        <w:t xml:space="preserve">Le principe de confidentialité est général et concerne </w:t>
      </w:r>
      <w:r w:rsidRPr="00DD6F7C">
        <w:rPr>
          <w:b/>
        </w:rPr>
        <w:t>l’ensemble des marchés publics et des acteurs</w:t>
      </w:r>
      <w:r>
        <w:t xml:space="preserve"> qui ont à connaître des offres (prescripteurs</w:t>
      </w:r>
      <w:r w:rsidR="00DD6F7C">
        <w:t xml:space="preserve"> techniques</w:t>
      </w:r>
      <w:r>
        <w:t xml:space="preserve">, </w:t>
      </w:r>
      <w:r w:rsidR="00DD6F7C">
        <w:t xml:space="preserve">utilisateurs finaux, </w:t>
      </w:r>
      <w:r>
        <w:t>etc.)</w:t>
      </w:r>
      <w:r w:rsidR="00DD6F7C">
        <w:t xml:space="preserve"> et qui doivent être sensibilisée à cette problématique</w:t>
      </w:r>
      <w:r>
        <w:t xml:space="preserve">. Cette obligation est fondamentale </w:t>
      </w:r>
      <w:r w:rsidR="00DD6F7C">
        <w:t xml:space="preserve">pour favoriser l’attractivité de la commande publique </w:t>
      </w:r>
      <w:r>
        <w:t>et son respect doi</w:t>
      </w:r>
      <w:r w:rsidR="006A5F9F">
        <w:t>t être garanti aux entreprises</w:t>
      </w:r>
      <w:r w:rsidR="00DD6F7C">
        <w:t xml:space="preserve"> qui font part, </w:t>
      </w:r>
      <w:r w:rsidR="00DD6F7C" w:rsidRPr="00DD6F7C">
        <w:rPr>
          <w:i/>
        </w:rPr>
        <w:t>via</w:t>
      </w:r>
      <w:r w:rsidR="00DD6F7C">
        <w:t xml:space="preserve"> leurs fédérations professionnelles, d’</w:t>
      </w:r>
      <w:r w:rsidR="00DD6F7C" w:rsidRPr="00DD6F7C">
        <w:t xml:space="preserve">une </w:t>
      </w:r>
      <w:r w:rsidR="00DD6F7C" w:rsidRPr="00DD6F7C">
        <w:rPr>
          <w:b/>
        </w:rPr>
        <w:t>crainte persistante</w:t>
      </w:r>
      <w:r w:rsidR="00DD6F7C">
        <w:t xml:space="preserve"> à cet égard</w:t>
      </w:r>
      <w:r w:rsidR="005A40EA">
        <w:t>.</w:t>
      </w:r>
    </w:p>
    <w:p w14:paraId="4B2A6C29" w14:textId="62DE8D99" w:rsidR="00F00058" w:rsidRPr="00F37652" w:rsidRDefault="00042FEA" w:rsidP="00F00058">
      <w:pPr>
        <w:spacing w:after="120"/>
        <w:jc w:val="both"/>
        <w:rPr>
          <w:color w:val="FF0000"/>
        </w:rPr>
      </w:pPr>
      <w:r w:rsidRPr="00F37652">
        <w:rPr>
          <w:noProof/>
          <w:color w:val="FF0000"/>
          <w:lang w:eastAsia="fr-FR"/>
        </w:rPr>
        <w:drawing>
          <wp:anchor distT="0" distB="0" distL="114300" distR="114300" simplePos="0" relativeHeight="251744256" behindDoc="0" locked="0" layoutInCell="1" allowOverlap="1" wp14:anchorId="154BBCEF" wp14:editId="360F3489">
            <wp:simplePos x="0" y="0"/>
            <wp:positionH relativeFrom="margin">
              <wp:posOffset>5420360</wp:posOffset>
            </wp:positionH>
            <wp:positionV relativeFrom="paragraph">
              <wp:posOffset>19050</wp:posOffset>
            </wp:positionV>
            <wp:extent cx="332105" cy="317500"/>
            <wp:effectExtent l="0" t="0" r="0" b="6350"/>
            <wp:wrapSquare wrapText="bothSides"/>
            <wp:docPr id="2" name="Image 2" descr="C:\Users\schleilat-adc\Downloads\war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hleilat-adc\Downloads\warning.png"/>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32105" cy="31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0058" w:rsidRPr="00F37652">
        <w:rPr>
          <w:color w:val="FF0000"/>
        </w:rPr>
        <w:t>Il est ainsi recommandé aux acheteurs la plus grande vigilance, notamment lorsque la mise en œuvre du sourcing</w:t>
      </w:r>
      <w:r w:rsidR="002F6D6E">
        <w:rPr>
          <w:color w:val="FF0000"/>
        </w:rPr>
        <w:t xml:space="preserve"> </w:t>
      </w:r>
      <w:r w:rsidR="00F00058" w:rsidRPr="00F37652">
        <w:rPr>
          <w:color w:val="FF0000"/>
        </w:rPr>
        <w:t>ou la présentation</w:t>
      </w:r>
      <w:r w:rsidR="00A12664">
        <w:rPr>
          <w:color w:val="FF0000"/>
        </w:rPr>
        <w:t xml:space="preserve"> de variantes les </w:t>
      </w:r>
      <w:r w:rsidR="00F00058" w:rsidRPr="00F37652">
        <w:rPr>
          <w:color w:val="FF0000"/>
        </w:rPr>
        <w:t>amène</w:t>
      </w:r>
      <w:r w:rsidR="00B47D87">
        <w:rPr>
          <w:color w:val="FF0000"/>
        </w:rPr>
        <w:t>nt</w:t>
      </w:r>
      <w:r w:rsidR="00F00058" w:rsidRPr="00F37652">
        <w:rPr>
          <w:color w:val="FF0000"/>
        </w:rPr>
        <w:t xml:space="preserve"> à connaître des techniques particulières </w:t>
      </w:r>
      <w:r w:rsidR="002F6D6E">
        <w:rPr>
          <w:color w:val="FF0000"/>
        </w:rPr>
        <w:t>aux entreprises.</w:t>
      </w:r>
      <w:r w:rsidR="00F00058" w:rsidRPr="00F37652">
        <w:rPr>
          <w:color w:val="FF0000"/>
        </w:rPr>
        <w:t xml:space="preserve"> Il en</w:t>
      </w:r>
      <w:r w:rsidR="00596D44">
        <w:rPr>
          <w:color w:val="FF0000"/>
        </w:rPr>
        <w:t xml:space="preserve"> va de même lorsqu’ils ont </w:t>
      </w:r>
      <w:r w:rsidR="00F00058" w:rsidRPr="00F37652">
        <w:rPr>
          <w:color w:val="FF0000"/>
        </w:rPr>
        <w:t>des contacts directs avec tous les candidats, notamment au moment de la communication aux candidats évincés de</w:t>
      </w:r>
      <w:r w:rsidR="00417916" w:rsidRPr="00F37652">
        <w:rPr>
          <w:color w:val="FF0000"/>
        </w:rPr>
        <w:t>s motifs du rejet de leur offre</w:t>
      </w:r>
      <w:r w:rsidR="003F6ED8">
        <w:rPr>
          <w:rStyle w:val="Appelnotedebasdep"/>
          <w:color w:val="FF0000"/>
        </w:rPr>
        <w:footnoteReference w:id="30"/>
      </w:r>
      <w:r w:rsidR="00DD6F7C" w:rsidRPr="00F37652">
        <w:rPr>
          <w:color w:val="FF0000"/>
        </w:rPr>
        <w:t xml:space="preserve">, ou </w:t>
      </w:r>
      <w:r w:rsidR="002F6D6E">
        <w:rPr>
          <w:color w:val="FF0000"/>
        </w:rPr>
        <w:t>lors des phases de négociation.</w:t>
      </w:r>
    </w:p>
    <w:p w14:paraId="2E937DB9" w14:textId="1C73E5E6" w:rsidR="00BB6374" w:rsidRDefault="00F00058" w:rsidP="00F00058">
      <w:pPr>
        <w:spacing w:after="120"/>
        <w:jc w:val="both"/>
      </w:pPr>
      <w:r>
        <w:t xml:space="preserve">Ces contacts ne doivent, en aucun cas, porter atteinte à la propriété intellectuelle et, plus largement, au </w:t>
      </w:r>
      <w:r w:rsidRPr="003F6ED8">
        <w:t>secret des affaires</w:t>
      </w:r>
      <w:r>
        <w:t xml:space="preserve">, par la </w:t>
      </w:r>
      <w:r w:rsidRPr="003F6ED8">
        <w:rPr>
          <w:b/>
        </w:rPr>
        <w:t>divulgation ou la réutilisation non autorisée</w:t>
      </w:r>
      <w:r>
        <w:t xml:space="preserve"> auprès d’autres candidats, ou de t</w:t>
      </w:r>
      <w:r w:rsidR="002F6D6E">
        <w:t xml:space="preserve">iers, de certaines informations </w:t>
      </w:r>
      <w:r>
        <w:t>figurant dans les offres</w:t>
      </w:r>
      <w:r w:rsidR="00CF120A">
        <w:t>, telles que les</w:t>
      </w:r>
      <w:r>
        <w:t xml:space="preserve"> prix, idées, procédés, pratiques commerciales, s</w:t>
      </w:r>
      <w:r w:rsidR="005C6427">
        <w:t>tratégie de l’entreprise, etc.</w:t>
      </w:r>
      <w:r w:rsidR="00CF120A">
        <w:t xml:space="preserve"> </w:t>
      </w:r>
    </w:p>
    <w:p w14:paraId="1EFFA251" w14:textId="6D85EFD9" w:rsidR="00BB6374" w:rsidRDefault="00BB6374" w:rsidP="005C6427">
      <w:pPr>
        <w:pStyle w:val="Encart"/>
        <w:spacing w:line="276" w:lineRule="auto"/>
      </w:pPr>
      <w:r>
        <w:t>Afin de rassurer les opérateurs économiques inquiets du traitement qui pourrait être réservé aux données techniques et/ou financières qu’ils communiquent,</w:t>
      </w:r>
      <w:r w:rsidR="003F6ED8">
        <w:t xml:space="preserve"> y compris avant transmission d’une offre (sourcing),</w:t>
      </w:r>
      <w:r>
        <w:t xml:space="preserve"> une bonne pratique peut être de leur demander de </w:t>
      </w:r>
      <w:r w:rsidRPr="004E75E9">
        <w:rPr>
          <w:b/>
        </w:rPr>
        <w:t>signaler</w:t>
      </w:r>
      <w:r>
        <w:t xml:space="preserve"> </w:t>
      </w:r>
      <w:r w:rsidRPr="004E75E9">
        <w:rPr>
          <w:b/>
        </w:rPr>
        <w:t>les éléments</w:t>
      </w:r>
      <w:r>
        <w:t xml:space="preserve"> qu’</w:t>
      </w:r>
      <w:r w:rsidR="003F6ED8">
        <w:t>ils</w:t>
      </w:r>
      <w:r>
        <w:t xml:space="preserve"> estiment </w:t>
      </w:r>
      <w:r w:rsidRPr="004E75E9">
        <w:rPr>
          <w:b/>
        </w:rPr>
        <w:t>de nature confidentielle</w:t>
      </w:r>
      <w:r w:rsidRPr="00741440">
        <w:t>, plutôt que de faire porter cette</w:t>
      </w:r>
      <w:r>
        <w:t xml:space="preserve"> analyse sensible sur l’</w:t>
      </w:r>
      <w:r w:rsidR="003F6ED8">
        <w:t>acheteur</w:t>
      </w:r>
      <w:r>
        <w:t xml:space="preserve">. </w:t>
      </w:r>
    </w:p>
    <w:p w14:paraId="5002C4FB" w14:textId="2EF0C089" w:rsidR="00BB6374" w:rsidRDefault="00BB6374" w:rsidP="00BB6374">
      <w:pPr>
        <w:spacing w:after="120"/>
        <w:jc w:val="both"/>
      </w:pPr>
      <w:r>
        <w:t>Des documentations dédiée</w:t>
      </w:r>
      <w:r w:rsidR="00D65D43">
        <w:t>s</w:t>
      </w:r>
      <w:r>
        <w:t xml:space="preserve"> à la problématique du </w:t>
      </w:r>
      <w:r w:rsidRPr="003F6ED8">
        <w:rPr>
          <w:b/>
        </w:rPr>
        <w:t>secret des affaires</w:t>
      </w:r>
      <w:r>
        <w:t xml:space="preserve"> ont été produites par certaines fédérations professionnelles et ou chambres de commerce et d’industrie (CCI) qui peuvent servir à sensibiliser les acheteurs comme les opérateurs économiques</w:t>
      </w:r>
      <w:r>
        <w:rPr>
          <w:rStyle w:val="Appelnotedebasdep"/>
        </w:rPr>
        <w:footnoteReference w:id="31"/>
      </w:r>
      <w:r>
        <w:t xml:space="preserve">. </w:t>
      </w:r>
    </w:p>
    <w:p w14:paraId="38B6094A" w14:textId="77777777" w:rsidR="00D65D43" w:rsidRDefault="00D65D43">
      <w:pPr>
        <w:rPr>
          <w:b/>
          <w:caps/>
          <w:color w:val="FFFFFF" w:themeColor="background1"/>
          <w:spacing w:val="15"/>
          <w:sz w:val="22"/>
          <w:szCs w:val="22"/>
        </w:rPr>
      </w:pPr>
      <w:bookmarkStart w:id="30" w:name="_Fiche_10_:"/>
      <w:bookmarkEnd w:id="30"/>
      <w:r>
        <w:br w:type="page"/>
      </w:r>
    </w:p>
    <w:p w14:paraId="34678869" w14:textId="68705692" w:rsidR="00B82771" w:rsidRDefault="00B82771" w:rsidP="002677D5">
      <w:pPr>
        <w:pStyle w:val="Titre1"/>
        <w:spacing w:after="240"/>
      </w:pPr>
      <w:bookmarkStart w:id="31" w:name="_Fiche_9_:"/>
      <w:bookmarkStart w:id="32" w:name="_Toc7425936"/>
      <w:bookmarkEnd w:id="31"/>
      <w:r>
        <w:lastRenderedPageBreak/>
        <w:t xml:space="preserve">Fiche </w:t>
      </w:r>
      <w:r w:rsidR="00CD541B">
        <w:t>9</w:t>
      </w:r>
      <w:r>
        <w:t> : Détect</w:t>
      </w:r>
      <w:r w:rsidR="00C0720F">
        <w:t>er l</w:t>
      </w:r>
      <w:r>
        <w:t>es offres anormalement basses (OAB)</w:t>
      </w:r>
      <w:bookmarkEnd w:id="32"/>
    </w:p>
    <w:p w14:paraId="62F29D37" w14:textId="1960E039" w:rsidR="0031026F" w:rsidRDefault="0031026F" w:rsidP="0031026F">
      <w:pPr>
        <w:spacing w:before="120" w:after="120"/>
        <w:ind w:right="227"/>
        <w:jc w:val="both"/>
      </w:pPr>
      <w:r w:rsidRPr="0031026F">
        <w:t>De nombreux organismes publics s’engagent expressément dans la lutte contre les OAB</w:t>
      </w:r>
      <w:r w:rsidR="004F416D">
        <w:t xml:space="preserve"> au travers de chartes, etc. A</w:t>
      </w:r>
      <w:r w:rsidRPr="0031026F">
        <w:t>u-delà d</w:t>
      </w:r>
      <w:r w:rsidR="004F416D">
        <w:t xml:space="preserve">e tout </w:t>
      </w:r>
      <w:r w:rsidRPr="0031026F">
        <w:t>acte volontariste</w:t>
      </w:r>
      <w:r w:rsidR="004F416D">
        <w:t>, cette démarche découle</w:t>
      </w:r>
      <w:r w:rsidRPr="0031026F">
        <w:t xml:space="preserve"> d’une obligation légale</w:t>
      </w:r>
      <w:r w:rsidR="004F416D">
        <w:t xml:space="preserve"> pour tous les acheteurs</w:t>
      </w:r>
      <w:r w:rsidRPr="0031026F">
        <w:t>.</w:t>
      </w:r>
    </w:p>
    <w:p w14:paraId="1A0075C9" w14:textId="2E64F1A4" w:rsidR="000302BD" w:rsidRDefault="00D45C37" w:rsidP="0031026F">
      <w:pPr>
        <w:spacing w:before="120" w:after="60"/>
        <w:ind w:left="227" w:right="227"/>
        <w:jc w:val="both"/>
      </w:pPr>
      <w:r w:rsidRPr="00F222C3">
        <w:rPr>
          <w:rStyle w:val="Lienhypertexte"/>
          <w:noProof/>
          <w:szCs w:val="23"/>
          <w:lang w:eastAsia="fr-FR"/>
        </w:rPr>
        <w:drawing>
          <wp:anchor distT="0" distB="0" distL="114300" distR="114300" simplePos="0" relativeHeight="251761664" behindDoc="0" locked="0" layoutInCell="1" allowOverlap="1" wp14:anchorId="055C685E" wp14:editId="70BFA6F0">
            <wp:simplePos x="0" y="0"/>
            <wp:positionH relativeFrom="margin">
              <wp:posOffset>-635</wp:posOffset>
            </wp:positionH>
            <wp:positionV relativeFrom="paragraph">
              <wp:posOffset>9525</wp:posOffset>
            </wp:positionV>
            <wp:extent cx="387350" cy="387350"/>
            <wp:effectExtent l="0" t="0" r="0" b="0"/>
            <wp:wrapSquare wrapText="bothSides"/>
            <wp:docPr id="28" name="Image 28" descr="K:\1ESD\1C\COMMUN1C\06. OECP\3 - GT OECP\GT_acces-TPE-PME\Projet de guide\Icônes\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1ESD\1C\COMMUN1C\06. OECP\3 - GT OECP\GT_acces-TPE-PME\Projet de guide\Icônes\book.png"/>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flipH="1">
                      <a:off x="0" y="0"/>
                      <a:ext cx="387350" cy="387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77D5" w:rsidRPr="00F222C3">
        <w:t xml:space="preserve">L’article </w:t>
      </w:r>
      <w:r w:rsidR="000302BD" w:rsidRPr="000302BD">
        <w:t>L</w:t>
      </w:r>
      <w:r>
        <w:t xml:space="preserve">. </w:t>
      </w:r>
      <w:r w:rsidR="000302BD" w:rsidRPr="000302BD">
        <w:t>2152-5 du CCP</w:t>
      </w:r>
      <w:r w:rsidR="000302BD">
        <w:t xml:space="preserve"> </w:t>
      </w:r>
      <w:r w:rsidR="002677D5">
        <w:t>d</w:t>
      </w:r>
      <w:r w:rsidR="00D73558">
        <w:t>éfinit l’OAB comme « </w:t>
      </w:r>
      <w:r w:rsidR="000302BD" w:rsidRPr="000302BD">
        <w:rPr>
          <w:i/>
        </w:rPr>
        <w:t>une offre dont le prix est manifestement sous-évalué et de nature à compromettre la bonne exécution du marché</w:t>
      </w:r>
      <w:r w:rsidR="000302BD">
        <w:t> ».</w:t>
      </w:r>
    </w:p>
    <w:p w14:paraId="70E6E780" w14:textId="77777777" w:rsidR="000302BD" w:rsidRPr="00FD6AB4" w:rsidRDefault="000302BD" w:rsidP="000302BD">
      <w:pPr>
        <w:spacing w:before="0" w:after="0"/>
        <w:ind w:right="227"/>
        <w:jc w:val="both"/>
        <w:rPr>
          <w:sz w:val="8"/>
        </w:rPr>
      </w:pPr>
    </w:p>
    <w:p w14:paraId="43740854" w14:textId="78316A99" w:rsidR="00054AC6" w:rsidRDefault="00E250FE" w:rsidP="00054AC6">
      <w:pPr>
        <w:spacing w:before="0" w:after="60"/>
        <w:ind w:right="227"/>
        <w:jc w:val="both"/>
      </w:pPr>
      <w:r>
        <w:t xml:space="preserve">Afin d’apprécier le caractère manifestement sous-évalué </w:t>
      </w:r>
      <w:r w:rsidR="006C0D69">
        <w:t>et</w:t>
      </w:r>
      <w:r>
        <w:t xml:space="preserve"> les éventuels risques d’exécution </w:t>
      </w:r>
      <w:r w:rsidR="00370404">
        <w:t xml:space="preserve">(défaillance, avenants, surcoûts…) </w:t>
      </w:r>
      <w:r>
        <w:t>liés à une offre, l</w:t>
      </w:r>
      <w:r w:rsidR="008B7906">
        <w:t xml:space="preserve">es acheteurs doivent </w:t>
      </w:r>
      <w:r>
        <w:t xml:space="preserve">dans une certaine mesure </w:t>
      </w:r>
      <w:r w:rsidRPr="00523144">
        <w:rPr>
          <w:b/>
        </w:rPr>
        <w:t xml:space="preserve">maitriser </w:t>
      </w:r>
      <w:r w:rsidR="008B7906" w:rsidRPr="00523144">
        <w:rPr>
          <w:b/>
        </w:rPr>
        <w:t>la</w:t>
      </w:r>
      <w:r w:rsidR="008B7906">
        <w:t xml:space="preserve"> </w:t>
      </w:r>
      <w:r w:rsidR="008B7906" w:rsidRPr="00961B7D">
        <w:rPr>
          <w:b/>
        </w:rPr>
        <w:t>réalité économique</w:t>
      </w:r>
      <w:r w:rsidR="008B7906">
        <w:t xml:space="preserve">, </w:t>
      </w:r>
      <w:r>
        <w:t>qui leur permettra d</w:t>
      </w:r>
      <w:r w:rsidR="008B7906">
        <w:t>e différencier une offre anormalement basse d’une offre concurrentielle</w:t>
      </w:r>
      <w:r w:rsidR="00370404">
        <w:t xml:space="preserve">, </w:t>
      </w:r>
      <w:r>
        <w:t>m</w:t>
      </w:r>
      <w:r w:rsidR="00370404">
        <w:t>ême basse</w:t>
      </w:r>
      <w:r>
        <w:t xml:space="preserve">. </w:t>
      </w:r>
      <w:r w:rsidR="00370404">
        <w:t>En effet, c</w:t>
      </w:r>
      <w:r w:rsidR="00370404" w:rsidRPr="00370404">
        <w:t>e dispositif n’a pas pour objet d’écarter une offre au seul motif que son prix ou coût est bas.</w:t>
      </w:r>
    </w:p>
    <w:p w14:paraId="0C57B52E" w14:textId="31525CB0" w:rsidR="008B7906" w:rsidRDefault="00370404" w:rsidP="000302BD">
      <w:pPr>
        <w:spacing w:before="0" w:after="120"/>
        <w:ind w:right="227"/>
        <w:jc w:val="both"/>
      </w:pPr>
      <w:r>
        <w:t xml:space="preserve">L’appréciation des offres </w:t>
      </w:r>
      <w:r w:rsidR="00E250FE">
        <w:t>re</w:t>
      </w:r>
      <w:r w:rsidR="008B7906">
        <w:t>quiert une bonne connaissance de</w:t>
      </w:r>
      <w:r w:rsidR="009B69EC">
        <w:t xml:space="preserve"> l’environnement concurrentiel et de</w:t>
      </w:r>
      <w:r w:rsidR="008B7906">
        <w:t>s pratiques du secteur concerné</w:t>
      </w:r>
      <w:r w:rsidR="00563AAD">
        <w:t xml:space="preserve"> (</w:t>
      </w:r>
      <w:r w:rsidR="00FE19FE">
        <w:t>ex : structuration</w:t>
      </w:r>
      <w:r w:rsidR="00563AAD">
        <w:t xml:space="preserve"> des prix</w:t>
      </w:r>
      <w:r w:rsidR="00E250FE">
        <w:t>, coûts, marges…)</w:t>
      </w:r>
      <w:r w:rsidR="009B69EC">
        <w:t xml:space="preserve">, ainsi que </w:t>
      </w:r>
      <w:r w:rsidR="00E250FE">
        <w:t>des perspectives</w:t>
      </w:r>
      <w:r w:rsidR="00054AC6">
        <w:t xml:space="preserve"> à court terme</w:t>
      </w:r>
      <w:r w:rsidR="00E250FE">
        <w:t xml:space="preserve">. </w:t>
      </w:r>
    </w:p>
    <w:p w14:paraId="5F34414F" w14:textId="16B34D10" w:rsidR="002677D5" w:rsidRDefault="002677D5" w:rsidP="00961B7D">
      <w:pPr>
        <w:spacing w:after="60"/>
        <w:jc w:val="both"/>
      </w:pPr>
      <w:r>
        <w:t xml:space="preserve">Il existe </w:t>
      </w:r>
      <w:r w:rsidRPr="00961B7D">
        <w:rPr>
          <w:b/>
        </w:rPr>
        <w:t>différents indices</w:t>
      </w:r>
      <w:r>
        <w:t xml:space="preserve"> pour détecte</w:t>
      </w:r>
      <w:r w:rsidR="00961B7D">
        <w:t xml:space="preserve">r une offre anormalement basse </w:t>
      </w:r>
      <w:r>
        <w:t xml:space="preserve">: </w:t>
      </w:r>
    </w:p>
    <w:p w14:paraId="53D27C20" w14:textId="578CB1F0" w:rsidR="00961B7D" w:rsidRDefault="002677D5" w:rsidP="00961B7D">
      <w:pPr>
        <w:pStyle w:val="Paragraphedeliste"/>
        <w:numPr>
          <w:ilvl w:val="0"/>
          <w:numId w:val="33"/>
        </w:numPr>
        <w:spacing w:before="60" w:after="60"/>
        <w:ind w:left="714" w:hanging="357"/>
        <w:contextualSpacing w:val="0"/>
        <w:jc w:val="both"/>
      </w:pPr>
      <w:r>
        <w:t>la sous-évaluation financière des prestations par rapport à l’</w:t>
      </w:r>
      <w:r w:rsidRPr="00961B7D">
        <w:rPr>
          <w:u w:val="single"/>
        </w:rPr>
        <w:t>estimation initiale</w:t>
      </w:r>
      <w:r w:rsidRPr="00563AAD">
        <w:t xml:space="preserve"> </w:t>
      </w:r>
      <w:r>
        <w:t>constitue le premier indice de l’offre anormalement basse, mais il ne peut suffire à lui seul</w:t>
      </w:r>
      <w:r w:rsidR="006C48B2">
        <w:t>. U</w:t>
      </w:r>
      <w:r>
        <w:t>n prix bas peut en effet résulter de la compétitivité de l’entreprise, de sa compétence technique, de sa santé finan</w:t>
      </w:r>
      <w:r w:rsidR="00D5592B">
        <w:t xml:space="preserve">cière, de sa structure de coûts, </w:t>
      </w:r>
      <w:r w:rsidR="006C48B2">
        <w:t>du recours à des innovations</w:t>
      </w:r>
      <w:r w:rsidR="00D5592B">
        <w:t xml:space="preserve"> ou d’une politique commerciale délibérée et dont la viabilité économique peut être démontrée.</w:t>
      </w:r>
      <w:r w:rsidR="006C48B2">
        <w:t xml:space="preserve"> Par ailleurs, le montant</w:t>
      </w:r>
      <w:r>
        <w:t xml:space="preserve"> </w:t>
      </w:r>
      <w:r w:rsidR="006C48B2">
        <w:t xml:space="preserve">estimatif du marché peut avoir été mal évalué </w:t>
      </w:r>
      <w:r>
        <w:t>;</w:t>
      </w:r>
    </w:p>
    <w:p w14:paraId="70684DD6" w14:textId="46F82496" w:rsidR="00961B7D" w:rsidRDefault="002677D5" w:rsidP="00961B7D">
      <w:pPr>
        <w:pStyle w:val="Paragraphedeliste"/>
        <w:numPr>
          <w:ilvl w:val="0"/>
          <w:numId w:val="33"/>
        </w:numPr>
        <w:spacing w:before="60" w:after="60"/>
        <w:ind w:left="714" w:hanging="357"/>
        <w:contextualSpacing w:val="0"/>
        <w:jc w:val="both"/>
      </w:pPr>
      <w:r>
        <w:t xml:space="preserve">une </w:t>
      </w:r>
      <w:r w:rsidRPr="00961B7D">
        <w:rPr>
          <w:u w:val="single"/>
        </w:rPr>
        <w:t>formule mathématique</w:t>
      </w:r>
      <w:r>
        <w:t xml:space="preserve"> peut être utilisée afin de déterminer un seuil d’anomalie en-deçà duquel les offres sont suspectées d’être </w:t>
      </w:r>
      <w:r w:rsidR="006579ED">
        <w:t xml:space="preserve">des </w:t>
      </w:r>
      <w:r>
        <w:t>OAB et doivent donner lieu à un échange avec le candidat  (cette méthode peut être contournée par un opérateur qui fixerait son prix juste au-dessus du seuil</w:t>
      </w:r>
      <w:r w:rsidR="006579ED">
        <w:t xml:space="preserve"> si celui-ci est indiqué dans les documents de la consultation</w:t>
      </w:r>
      <w:r>
        <w:t>)</w:t>
      </w:r>
      <w:r w:rsidR="00221083">
        <w:t xml:space="preserve">. Cette méthode est à éviter </w:t>
      </w:r>
      <w:r>
        <w:t xml:space="preserve">; </w:t>
      </w:r>
    </w:p>
    <w:p w14:paraId="2FB0B707" w14:textId="3BD67CE5" w:rsidR="00961B7D" w:rsidRDefault="00961B7D" w:rsidP="00961B7D">
      <w:pPr>
        <w:pStyle w:val="Paragraphedeliste"/>
        <w:numPr>
          <w:ilvl w:val="0"/>
          <w:numId w:val="33"/>
        </w:numPr>
        <w:spacing w:before="60" w:after="60"/>
        <w:ind w:left="714" w:hanging="357"/>
        <w:contextualSpacing w:val="0"/>
        <w:jc w:val="both"/>
      </w:pPr>
      <w:r>
        <w:t>l</w:t>
      </w:r>
      <w:r w:rsidR="002677D5">
        <w:t xml:space="preserve">a </w:t>
      </w:r>
      <w:r w:rsidR="002677D5" w:rsidRPr="00961B7D">
        <w:rPr>
          <w:u w:val="single"/>
        </w:rPr>
        <w:t>comparaison avec les autres offres</w:t>
      </w:r>
      <w:r w:rsidR="002677D5">
        <w:t xml:space="preserve"> peut permettre de constater un écart significatif entre le prix proposé par un candidat et celui de ses concurrents </w:t>
      </w:r>
      <w:r w:rsidR="00DD5674">
        <w:t xml:space="preserve">et ainsi susciter des interrogations ; </w:t>
      </w:r>
    </w:p>
    <w:p w14:paraId="183BA0AA" w14:textId="45CF3EF7" w:rsidR="002677D5" w:rsidRDefault="002677D5" w:rsidP="00961B7D">
      <w:pPr>
        <w:pStyle w:val="Paragraphedeliste"/>
        <w:numPr>
          <w:ilvl w:val="0"/>
          <w:numId w:val="33"/>
        </w:numPr>
        <w:spacing w:before="60" w:after="120"/>
        <w:ind w:left="714" w:hanging="357"/>
        <w:jc w:val="both"/>
      </w:pPr>
      <w:r>
        <w:t xml:space="preserve">le rapprochement avec les </w:t>
      </w:r>
      <w:r w:rsidRPr="00961B7D">
        <w:rPr>
          <w:u w:val="single"/>
        </w:rPr>
        <w:t>obligations</w:t>
      </w:r>
      <w:r>
        <w:t xml:space="preserve"> imposées aux soumissionnaires </w:t>
      </w:r>
      <w:r w:rsidRPr="00961B7D">
        <w:rPr>
          <w:u w:val="single"/>
        </w:rPr>
        <w:t>en matière sociale et environnementale</w:t>
      </w:r>
      <w:r>
        <w:t xml:space="preserve"> doit permettre de s’assurer qu’ils seront en mesure de tenir leurs engagements tout au long du marché (ex : prise en compte du coût lié à la reprise des salariés de l’ancien attributaire). </w:t>
      </w:r>
    </w:p>
    <w:p w14:paraId="6A3FF3CB" w14:textId="3AAF6179" w:rsidR="00D45C37" w:rsidRDefault="00DD4B8A" w:rsidP="00961B7D">
      <w:pPr>
        <w:spacing w:before="120" w:after="120"/>
        <w:jc w:val="both"/>
      </w:pPr>
      <w:r w:rsidRPr="00BE590A">
        <w:rPr>
          <w:noProof/>
          <w:color w:val="FF0000"/>
          <w:lang w:eastAsia="fr-FR"/>
        </w:rPr>
        <w:drawing>
          <wp:anchor distT="0" distB="0" distL="114300" distR="114300" simplePos="0" relativeHeight="251762688" behindDoc="0" locked="0" layoutInCell="1" allowOverlap="1" wp14:anchorId="6051F332" wp14:editId="37F327B2">
            <wp:simplePos x="0" y="0"/>
            <wp:positionH relativeFrom="margin">
              <wp:align>right</wp:align>
            </wp:positionH>
            <wp:positionV relativeFrom="paragraph">
              <wp:posOffset>1270</wp:posOffset>
            </wp:positionV>
            <wp:extent cx="405130" cy="405130"/>
            <wp:effectExtent l="0" t="0" r="0" b="0"/>
            <wp:wrapSquare wrapText="bothSides"/>
            <wp:docPr id="29" name="Image 29" descr="K:\1ESD\1C\COMMUN1C\11. Innovation\GT guide achats innovants\Projet de guide\Icônes\ques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1ESD\1C\COMMUN1C\11. Innovation\GT guide achats innovants\Projet de guide\Icônes\question.png"/>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05130" cy="405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77D5" w:rsidRPr="00BE590A">
        <w:rPr>
          <w:color w:val="FF0000"/>
        </w:rPr>
        <w:t>Après avoir identifié les offres susceptibles d’être anormalement basses (y compris pour les prestations sous-traitées</w:t>
      </w:r>
      <w:r w:rsidR="00961B7D" w:rsidRPr="00BE590A">
        <w:rPr>
          <w:rStyle w:val="Appelnotedebasdep"/>
          <w:color w:val="FF0000"/>
        </w:rPr>
        <w:footnoteReference w:id="32"/>
      </w:r>
      <w:r w:rsidR="002677D5" w:rsidRPr="00BE590A">
        <w:rPr>
          <w:color w:val="FF0000"/>
        </w:rPr>
        <w:t>)</w:t>
      </w:r>
      <w:r w:rsidR="00961B7D" w:rsidRPr="00BE590A">
        <w:rPr>
          <w:color w:val="FF0000"/>
        </w:rPr>
        <w:t>,</w:t>
      </w:r>
      <w:r w:rsidR="002677D5" w:rsidRPr="00BE590A">
        <w:rPr>
          <w:color w:val="FF0000"/>
        </w:rPr>
        <w:t xml:space="preserve"> l’acheteur doit </w:t>
      </w:r>
      <w:r w:rsidR="002677D5" w:rsidRPr="00BE590A">
        <w:rPr>
          <w:b/>
          <w:color w:val="FF0000"/>
        </w:rPr>
        <w:t>demander des explications</w:t>
      </w:r>
      <w:r w:rsidR="002677D5" w:rsidRPr="00BE590A">
        <w:rPr>
          <w:color w:val="FF0000"/>
        </w:rPr>
        <w:t xml:space="preserve"> à leurs auteurs et en apprécier la pertinence, </w:t>
      </w:r>
      <w:r w:rsidR="00A47AC9" w:rsidRPr="00BE590A">
        <w:rPr>
          <w:color w:val="FF0000"/>
        </w:rPr>
        <w:t>avant</w:t>
      </w:r>
      <w:r w:rsidR="002677D5" w:rsidRPr="00BE590A">
        <w:rPr>
          <w:color w:val="FF0000"/>
        </w:rPr>
        <w:t xml:space="preserve"> de prendre une décision d’admission ou de rejet. </w:t>
      </w:r>
    </w:p>
    <w:p w14:paraId="428F4FB5" w14:textId="57FF8324" w:rsidR="002677D5" w:rsidRDefault="002677D5" w:rsidP="00961B7D">
      <w:pPr>
        <w:spacing w:before="120" w:after="120"/>
        <w:jc w:val="both"/>
      </w:pPr>
      <w:r>
        <w:t>Cette procédure contradictoire ne relève pas d’une simple faculté, mais constitue une obligation dont l’absence de mise en œu</w:t>
      </w:r>
      <w:r w:rsidR="00961B7D">
        <w:t>vre est sanctionnée par le juge</w:t>
      </w:r>
      <w:r>
        <w:t xml:space="preserve">. </w:t>
      </w:r>
      <w:r w:rsidR="003772BD" w:rsidRPr="003772BD">
        <w:t xml:space="preserve">L’opérateur économique doit </w:t>
      </w:r>
      <w:r w:rsidR="003772BD">
        <w:t xml:space="preserve">pouvoir </w:t>
      </w:r>
      <w:r w:rsidR="003772BD" w:rsidRPr="003772BD">
        <w:t>faire valoir son point de vue et démontrer le sérieux de son offre</w:t>
      </w:r>
      <w:r w:rsidR="003772BD">
        <w:t>, dans le délai imparti</w:t>
      </w:r>
      <w:r w:rsidR="003772BD" w:rsidRPr="003772BD">
        <w:t>.</w:t>
      </w:r>
    </w:p>
    <w:p w14:paraId="22EF0C88" w14:textId="3DC3B561" w:rsidR="00F222C3" w:rsidRPr="00BE590A" w:rsidRDefault="00F222C3" w:rsidP="00316D7E">
      <w:pPr>
        <w:pStyle w:val="Encart"/>
        <w:spacing w:before="140" w:after="140" w:line="276" w:lineRule="auto"/>
      </w:pPr>
      <w:r w:rsidRPr="00BE590A">
        <w:t>Il est conseillé de matérialiser l’échange avec le</w:t>
      </w:r>
      <w:r w:rsidR="00931625" w:rsidRPr="00BE590A">
        <w:t>(s)</w:t>
      </w:r>
      <w:r w:rsidRPr="00BE590A">
        <w:t xml:space="preserve"> candidat</w:t>
      </w:r>
      <w:r w:rsidR="00931625" w:rsidRPr="00BE590A">
        <w:t>(s)</w:t>
      </w:r>
      <w:r w:rsidRPr="00BE590A">
        <w:t xml:space="preserve"> concerné</w:t>
      </w:r>
      <w:r w:rsidR="00931625" w:rsidRPr="00BE590A">
        <w:t>(s)</w:t>
      </w:r>
      <w:r w:rsidRPr="00BE590A">
        <w:t xml:space="preserve"> par une </w:t>
      </w:r>
      <w:r w:rsidRPr="00BE590A">
        <w:rPr>
          <w:b/>
        </w:rPr>
        <w:t>série de questions</w:t>
      </w:r>
      <w:r w:rsidRPr="00BE590A">
        <w:t xml:space="preserve"> permettant de tester la cohérence de l’offre. Une simple demande de confirmation des prix ne peut suffire, car le soumissionnaire </w:t>
      </w:r>
      <w:r w:rsidR="002C0617" w:rsidRPr="00BE590A">
        <w:t xml:space="preserve">n’a </w:t>
      </w:r>
      <w:r w:rsidRPr="00BE590A">
        <w:t>peut</w:t>
      </w:r>
      <w:r w:rsidR="002C0617" w:rsidRPr="00BE590A">
        <w:t>-être pas</w:t>
      </w:r>
      <w:r w:rsidRPr="00BE590A">
        <w:t xml:space="preserve"> conscience du fait qu’il fait l’objet d’une suspicion d’OAB. </w:t>
      </w:r>
    </w:p>
    <w:p w14:paraId="7C971C46" w14:textId="0056DA91" w:rsidR="00551CE7" w:rsidRDefault="00551CE7" w:rsidP="002C7973">
      <w:pPr>
        <w:spacing w:after="120"/>
        <w:jc w:val="both"/>
      </w:pPr>
      <w:r>
        <w:lastRenderedPageBreak/>
        <w:t>U</w:t>
      </w:r>
      <w:r w:rsidRPr="00551CE7">
        <w:t xml:space="preserve">n prix trop bas ou trop élevé peut </w:t>
      </w:r>
      <w:r w:rsidR="003772BD">
        <w:t xml:space="preserve">aussi </w:t>
      </w:r>
      <w:r w:rsidRPr="00551CE7">
        <w:t>être la résultante d’une mauvaise compréhension du besoin. Aussi, les entreprises doivent être incitées</w:t>
      </w:r>
      <w:r w:rsidR="00931625">
        <w:t xml:space="preserve"> – en cas de doute – </w:t>
      </w:r>
      <w:r w:rsidRPr="00551CE7">
        <w:t>à poser des questions en cours de procédure et les acheteurs à les recevoir avec bienveillance.</w:t>
      </w:r>
    </w:p>
    <w:p w14:paraId="0EF1A434" w14:textId="0EED627F" w:rsidR="002677D5" w:rsidRDefault="00147660" w:rsidP="0031026F">
      <w:pPr>
        <w:spacing w:before="0" w:after="20"/>
        <w:jc w:val="both"/>
      </w:pPr>
      <w:r w:rsidRPr="00147660">
        <w:t>L’article R</w:t>
      </w:r>
      <w:r w:rsidR="00D45C37">
        <w:t xml:space="preserve">. </w:t>
      </w:r>
      <w:r w:rsidR="0006483E" w:rsidRPr="0006483E">
        <w:t>2152-3</w:t>
      </w:r>
      <w:r w:rsidR="0006483E">
        <w:t xml:space="preserve"> </w:t>
      </w:r>
      <w:r w:rsidR="002677D5" w:rsidRPr="00147660">
        <w:t xml:space="preserve">du </w:t>
      </w:r>
      <w:r w:rsidRPr="00147660">
        <w:t>CCP</w:t>
      </w:r>
      <w:r w:rsidR="002677D5" w:rsidRPr="00147660">
        <w:t xml:space="preserve"> énumère</w:t>
      </w:r>
      <w:r w:rsidR="002677D5">
        <w:t xml:space="preserve"> une liste non exhaustive des </w:t>
      </w:r>
      <w:r w:rsidR="002677D5" w:rsidRPr="00F222C3">
        <w:rPr>
          <w:b/>
        </w:rPr>
        <w:t>justifications possibles</w:t>
      </w:r>
      <w:r w:rsidR="002677D5">
        <w:t xml:space="preserve">. L’entreprise peut notamment justifier la cohérence de son prix bas par : </w:t>
      </w:r>
    </w:p>
    <w:p w14:paraId="1035B915" w14:textId="77777777" w:rsidR="00961B7D" w:rsidRDefault="002677D5" w:rsidP="0031026F">
      <w:pPr>
        <w:pStyle w:val="Paragraphedeliste"/>
        <w:numPr>
          <w:ilvl w:val="0"/>
          <w:numId w:val="34"/>
        </w:numPr>
        <w:spacing w:before="0" w:after="20"/>
        <w:ind w:left="714" w:hanging="357"/>
        <w:contextualSpacing w:val="0"/>
        <w:jc w:val="both"/>
      </w:pPr>
      <w:r>
        <w:t>le mode de fabrication des produits, les modalités de la prestation des services, le procédé de construction ;</w:t>
      </w:r>
    </w:p>
    <w:p w14:paraId="00D92765" w14:textId="77777777" w:rsidR="00961B7D" w:rsidRDefault="002677D5" w:rsidP="0031026F">
      <w:pPr>
        <w:pStyle w:val="Paragraphedeliste"/>
        <w:numPr>
          <w:ilvl w:val="0"/>
          <w:numId w:val="34"/>
        </w:numPr>
        <w:spacing w:before="0" w:after="20"/>
        <w:ind w:left="714" w:hanging="357"/>
        <w:contextualSpacing w:val="0"/>
        <w:jc w:val="both"/>
      </w:pPr>
      <w:r>
        <w:t>les solutions techniques adoptées ou les conditions exceptionnellement favorables dont dispose le candidat ;</w:t>
      </w:r>
    </w:p>
    <w:p w14:paraId="770C12E1" w14:textId="77777777" w:rsidR="00961B7D" w:rsidRDefault="002677D5" w:rsidP="0031026F">
      <w:pPr>
        <w:pStyle w:val="Paragraphedeliste"/>
        <w:numPr>
          <w:ilvl w:val="0"/>
          <w:numId w:val="34"/>
        </w:numPr>
        <w:spacing w:before="0" w:after="20"/>
        <w:ind w:left="714" w:hanging="357"/>
        <w:contextualSpacing w:val="0"/>
        <w:jc w:val="both"/>
      </w:pPr>
      <w:r>
        <w:t>l'originalité de l'offre ;</w:t>
      </w:r>
    </w:p>
    <w:p w14:paraId="03761EF8" w14:textId="55817498" w:rsidR="00147660" w:rsidRDefault="00147660" w:rsidP="0031026F">
      <w:pPr>
        <w:pStyle w:val="Paragraphedeliste"/>
        <w:numPr>
          <w:ilvl w:val="0"/>
          <w:numId w:val="34"/>
        </w:numPr>
        <w:spacing w:before="0" w:after="20"/>
        <w:ind w:left="714" w:hanging="357"/>
        <w:contextualSpacing w:val="0"/>
        <w:jc w:val="both"/>
      </w:pPr>
      <w:r>
        <w:t>l</w:t>
      </w:r>
      <w:r w:rsidRPr="00147660">
        <w:t>a règlementation applicable en matière environnementale, sociale et du travail en vigueur sur le lieu d'exécution des prestations ;</w:t>
      </w:r>
    </w:p>
    <w:p w14:paraId="48B52577" w14:textId="253D41B8" w:rsidR="002677D5" w:rsidRDefault="002677D5" w:rsidP="00147660">
      <w:pPr>
        <w:pStyle w:val="Paragraphedeliste"/>
        <w:numPr>
          <w:ilvl w:val="0"/>
          <w:numId w:val="34"/>
        </w:numPr>
        <w:spacing w:before="0" w:after="120"/>
        <w:ind w:left="714" w:hanging="357"/>
        <w:contextualSpacing w:val="0"/>
        <w:jc w:val="both"/>
      </w:pPr>
      <w:r>
        <w:t>l'obtention éventuelle par le candidat d'une aide d'État.</w:t>
      </w:r>
    </w:p>
    <w:p w14:paraId="68814B78" w14:textId="0909C97F" w:rsidR="00786781" w:rsidRDefault="002677D5" w:rsidP="002677D5">
      <w:pPr>
        <w:spacing w:after="120"/>
        <w:jc w:val="both"/>
      </w:pPr>
      <w:r>
        <w:t>C’est seulement si le soumissionnaire est dans l’incapacité de fournir des éléments expliquant de manière satisfaisante la cohérence du bas niveau de prix ou de coût que le caractère anormalement bas de l’offre est étab</w:t>
      </w:r>
      <w:r w:rsidR="00961B7D">
        <w:t>li et qu’elle doit être écartée</w:t>
      </w:r>
      <w:r>
        <w:t>.</w:t>
      </w:r>
    </w:p>
    <w:p w14:paraId="1466CA40" w14:textId="34586979" w:rsidR="006E0C20" w:rsidRDefault="006E0C20" w:rsidP="002677D5">
      <w:pPr>
        <w:spacing w:after="120"/>
        <w:jc w:val="both"/>
      </w:pPr>
      <w:r w:rsidRPr="00F37652">
        <w:rPr>
          <w:noProof/>
          <w:color w:val="FF0000"/>
          <w:lang w:eastAsia="fr-FR"/>
        </w:rPr>
        <w:drawing>
          <wp:anchor distT="0" distB="0" distL="114300" distR="114300" simplePos="0" relativeHeight="251825152" behindDoc="0" locked="0" layoutInCell="1" allowOverlap="1" wp14:anchorId="4B283E37" wp14:editId="0CB4DD94">
            <wp:simplePos x="0" y="0"/>
            <wp:positionH relativeFrom="margin">
              <wp:align>left</wp:align>
            </wp:positionH>
            <wp:positionV relativeFrom="paragraph">
              <wp:posOffset>7010</wp:posOffset>
            </wp:positionV>
            <wp:extent cx="292100" cy="279400"/>
            <wp:effectExtent l="0" t="0" r="0" b="6350"/>
            <wp:wrapSquare wrapText="bothSides"/>
            <wp:docPr id="56" name="Image 56" descr="C:\Users\schleilat-adc\Downloads\war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hleilat-adc\Downloads\warning.png"/>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93474" cy="280567"/>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0C20">
        <w:t>En</w:t>
      </w:r>
      <w:r>
        <w:t>fin,</w:t>
      </w:r>
      <w:r w:rsidRPr="006E0C20">
        <w:t xml:space="preserve"> l’existence d’un prix paraissant anormalement bas au sein de l’offre d’un candidat, pour seulement l’une des prestations faisant l’objet du marché, n’implique pas, à elle-seule, le rejet de </w:t>
      </w:r>
      <w:r>
        <w:t xml:space="preserve">l’offre comme anormalement basse. </w:t>
      </w:r>
      <w:r w:rsidRPr="006E0C20">
        <w:t>Le prix anormalement bas s’apprécie en effet au regard d</w:t>
      </w:r>
      <w:r w:rsidR="00B10048">
        <w:t>u</w:t>
      </w:r>
      <w:r w:rsidRPr="006E0C20">
        <w:t xml:space="preserve"> </w:t>
      </w:r>
      <w:r w:rsidRPr="006E0C20">
        <w:rPr>
          <w:b/>
        </w:rPr>
        <w:t>prix global</w:t>
      </w:r>
      <w:r>
        <w:rPr>
          <w:rStyle w:val="Appelnotedebasdep"/>
          <w:b/>
        </w:rPr>
        <w:footnoteReference w:id="33"/>
      </w:r>
      <w:r w:rsidRPr="006E0C20">
        <w:t>.</w:t>
      </w:r>
    </w:p>
    <w:p w14:paraId="3249EC5B" w14:textId="6DBC7E53" w:rsidR="00625A12" w:rsidRDefault="00CD6464" w:rsidP="00CD6464">
      <w:pPr>
        <w:pStyle w:val="Exemple"/>
        <w:framePr w:wrap="around"/>
        <w:spacing w:before="60" w:after="120"/>
      </w:pPr>
      <w:r w:rsidRPr="00CD6464">
        <w:t xml:space="preserve">Une mauvaise pratique des acheteurs consiste, par crainte du contentieux, à ne pas rejeter les OAB constatées et à les classer parmi les autres offres, tout en abaissant leur note technique. </w:t>
      </w:r>
      <w:r w:rsidR="00625A12">
        <w:t>Si la mise en œuvre du dispositif de lutte contre les OAB peut certes s’avérer délicate, ne pas y procéder est illégal et conduit à ne pas envoyer de signal fort aux entreprises au comportement anticoncurrentiel.</w:t>
      </w:r>
    </w:p>
    <w:p w14:paraId="250B7E52" w14:textId="58FD2976" w:rsidR="00CE7AD2" w:rsidRDefault="00CE7AD2" w:rsidP="00CD6464">
      <w:pPr>
        <w:pStyle w:val="Exemple"/>
        <w:framePr w:wrap="around"/>
        <w:spacing w:before="60" w:after="120"/>
      </w:pPr>
      <w:r w:rsidRPr="00CE7AD2">
        <w:rPr>
          <w:highlight w:val="yellow"/>
        </w:rPr>
        <w:t>Exemple </w:t>
      </w:r>
      <w:r w:rsidR="0031026F">
        <w:rPr>
          <w:highlight w:val="yellow"/>
        </w:rPr>
        <w:t xml:space="preserve">de bonne pratique contre les OAB </w:t>
      </w:r>
      <w:r w:rsidR="00CD6464">
        <w:rPr>
          <w:highlight w:val="yellow"/>
        </w:rPr>
        <w:t>?</w:t>
      </w:r>
      <w:r>
        <w:tab/>
      </w:r>
      <w:r w:rsidR="00CD6464">
        <w:tab/>
      </w:r>
      <w:r w:rsidR="00CD6464">
        <w:tab/>
      </w:r>
      <w:r w:rsidR="00CD6464">
        <w:tab/>
      </w:r>
      <w:r w:rsidR="00CD6464">
        <w:tab/>
      </w:r>
      <w:r w:rsidR="00CD6464">
        <w:tab/>
      </w:r>
      <w:r>
        <w:tab/>
      </w:r>
      <w:r>
        <w:tab/>
      </w:r>
    </w:p>
    <w:p w14:paraId="71D12F4C" w14:textId="609A4734" w:rsidR="00961B7D" w:rsidRDefault="006136A7" w:rsidP="006136A7">
      <w:pPr>
        <w:spacing w:before="360"/>
        <w:rPr>
          <w:b/>
          <w:caps/>
          <w:color w:val="FFFFFF" w:themeColor="background1"/>
          <w:spacing w:val="15"/>
          <w:sz w:val="22"/>
          <w:szCs w:val="22"/>
        </w:rPr>
      </w:pPr>
      <w:r w:rsidRPr="006136A7">
        <w:t>Pour aller plus loin, vous pouvez consulte</w:t>
      </w:r>
      <w:r>
        <w:t xml:space="preserve">r la fiche de la DAJ dédiée à </w:t>
      </w:r>
      <w:hyperlink r:id="rId67" w:history="1">
        <w:r w:rsidRPr="006136A7">
          <w:rPr>
            <w:rStyle w:val="Lienhypertexte"/>
          </w:rPr>
          <w:t>l’offre anormalement basse</w:t>
        </w:r>
      </w:hyperlink>
      <w:r w:rsidRPr="006136A7">
        <w:t>.</w:t>
      </w:r>
    </w:p>
    <w:p w14:paraId="5259CB58" w14:textId="77777777" w:rsidR="00CE7AD2" w:rsidRDefault="00CE7AD2">
      <w:pPr>
        <w:rPr>
          <w:b/>
          <w:caps/>
          <w:color w:val="FFFFFF" w:themeColor="background1"/>
          <w:spacing w:val="15"/>
          <w:sz w:val="22"/>
          <w:szCs w:val="22"/>
        </w:rPr>
      </w:pPr>
      <w:r>
        <w:br w:type="page"/>
      </w:r>
    </w:p>
    <w:p w14:paraId="0944D8C8" w14:textId="425CFECC" w:rsidR="00CD541B" w:rsidRPr="00CD541B" w:rsidRDefault="00CD541B" w:rsidP="000131A7">
      <w:pPr>
        <w:pStyle w:val="Titre1"/>
        <w:spacing w:after="240"/>
      </w:pPr>
      <w:bookmarkStart w:id="33" w:name="_Toc7425937"/>
      <w:r w:rsidRPr="00CD541B">
        <w:lastRenderedPageBreak/>
        <w:t>Fiche 1</w:t>
      </w:r>
      <w:r>
        <w:t>0</w:t>
      </w:r>
      <w:r w:rsidRPr="00CD541B">
        <w:t> : Indemnis</w:t>
      </w:r>
      <w:r w:rsidR="00C0720F">
        <w:t>er l</w:t>
      </w:r>
      <w:r w:rsidRPr="00CD541B">
        <w:t>es prestations à l’appui des offres</w:t>
      </w:r>
      <w:bookmarkEnd w:id="33"/>
    </w:p>
    <w:p w14:paraId="407A0B2B" w14:textId="77777777" w:rsidR="00E27CC0" w:rsidRDefault="00CD541B" w:rsidP="00CD541B">
      <w:pPr>
        <w:tabs>
          <w:tab w:val="left" w:pos="426"/>
        </w:tabs>
        <w:spacing w:after="120"/>
        <w:jc w:val="both"/>
      </w:pPr>
      <w:r w:rsidRPr="00CD541B">
        <w:t>Les candidats à un marché public peuvent être amenés à effectuer des études (techniques, juridiques ou d'ingénierie) ou à fournir des échantillons /</w:t>
      </w:r>
      <w:r w:rsidR="004A300C">
        <w:t xml:space="preserve"> </w:t>
      </w:r>
      <w:r w:rsidRPr="00CD541B">
        <w:t xml:space="preserve">prototypes à l’appui de leur offre. </w:t>
      </w:r>
    </w:p>
    <w:p w14:paraId="48465D72" w14:textId="5A50B26E" w:rsidR="004A300C" w:rsidRDefault="00E27CC0" w:rsidP="00CD541B">
      <w:pPr>
        <w:tabs>
          <w:tab w:val="left" w:pos="426"/>
        </w:tabs>
        <w:spacing w:after="120"/>
        <w:jc w:val="both"/>
      </w:pPr>
      <w:r w:rsidRPr="00E27CC0">
        <w:t>Comme toute exigence</w:t>
      </w:r>
      <w:r w:rsidR="00C4384E">
        <w:t xml:space="preserve"> </w:t>
      </w:r>
      <w:r w:rsidR="00C4384E" w:rsidRPr="00C4384E">
        <w:t>au stade de la présentation des offres</w:t>
      </w:r>
      <w:r w:rsidRPr="00E27CC0">
        <w:t>,</w:t>
      </w:r>
      <w:r>
        <w:t xml:space="preserve"> la demande de l’acheteur </w:t>
      </w:r>
      <w:r w:rsidRPr="00E27CC0">
        <w:t xml:space="preserve">doit être justifiée, liée et proportionnée à l’objet du marché public </w:t>
      </w:r>
      <w:r>
        <w:t>ou à ses conditions d’exécution.</w:t>
      </w:r>
      <w:r w:rsidR="00664366" w:rsidRPr="00664366">
        <w:t xml:space="preserve"> </w:t>
      </w:r>
      <w:r w:rsidR="00664366">
        <w:t xml:space="preserve">Elle </w:t>
      </w:r>
      <w:r w:rsidR="00664366" w:rsidRPr="00664366">
        <w:t>ne doit en aucun cas constituer un dé</w:t>
      </w:r>
      <w:r w:rsidR="00664366">
        <w:t xml:space="preserve">but d'exécution des prestations. </w:t>
      </w:r>
    </w:p>
    <w:p w14:paraId="3150D852" w14:textId="1779621F" w:rsidR="00914E6D" w:rsidRDefault="00914E6D" w:rsidP="000131A7">
      <w:pPr>
        <w:tabs>
          <w:tab w:val="left" w:pos="426"/>
        </w:tabs>
        <w:spacing w:after="60"/>
        <w:jc w:val="both"/>
      </w:pPr>
      <w:r w:rsidRPr="00CD541B">
        <w:t xml:space="preserve">Ces </w:t>
      </w:r>
      <w:r w:rsidRPr="000131A7">
        <w:rPr>
          <w:b/>
        </w:rPr>
        <w:t>prestations subsidiaires représentent un</w:t>
      </w:r>
      <w:r w:rsidRPr="00CD541B">
        <w:t xml:space="preserve"> </w:t>
      </w:r>
      <w:r w:rsidRPr="000131A7">
        <w:rPr>
          <w:b/>
        </w:rPr>
        <w:t>coût</w:t>
      </w:r>
      <w:r w:rsidRPr="00CD541B">
        <w:t>, qui peut dissuader les entreprises – en particulier les TPE/PME – de répondre à certains marchés publics</w:t>
      </w:r>
      <w:r>
        <w:t xml:space="preserve">, </w:t>
      </w:r>
      <w:r w:rsidRPr="004A300C">
        <w:rPr>
          <w:i/>
        </w:rPr>
        <w:t>a fortiori</w:t>
      </w:r>
      <w:r>
        <w:t xml:space="preserve"> quand la procédure s’</w:t>
      </w:r>
      <w:r w:rsidR="000131A7">
        <w:t xml:space="preserve">étend </w:t>
      </w:r>
      <w:r>
        <w:t>sur une certaine durée (ex : dialogue compétitif)</w:t>
      </w:r>
      <w:r w:rsidR="00E043DA">
        <w:t>. C</w:t>
      </w:r>
      <w:r w:rsidRPr="00CD541B">
        <w:t>e paramètre doit être pris en considération par l’acheteur public avant de lancer une consultation.</w:t>
      </w:r>
    </w:p>
    <w:p w14:paraId="1C88B801" w14:textId="77777777" w:rsidR="000131A7" w:rsidRPr="00CD541B" w:rsidRDefault="000131A7" w:rsidP="000131A7">
      <w:pPr>
        <w:tabs>
          <w:tab w:val="left" w:pos="284"/>
        </w:tabs>
        <w:spacing w:after="120"/>
        <w:jc w:val="both"/>
      </w:pPr>
      <w:r w:rsidRPr="00CD541B">
        <w:t xml:space="preserve">Sans contrepartie financière, les candidats seront moins nombreux, ce qui aura des </w:t>
      </w:r>
      <w:r w:rsidRPr="000131A7">
        <w:rPr>
          <w:b/>
        </w:rPr>
        <w:t>effets sur le niveau de concurrence et sur la qualité des offres</w:t>
      </w:r>
      <w:r w:rsidRPr="00CD541B">
        <w:t>. Le pouvoir adjudicateur court aussi le risque de voir des études conduites au moindre coût, ce qui pourra avoir des conséquences</w:t>
      </w:r>
      <w:r>
        <w:t xml:space="preserve"> sur la pertinence et le niveau des solutions proposées</w:t>
      </w:r>
      <w:r w:rsidRPr="00CD541B">
        <w:t xml:space="preserve"> et au final sur le coût</w:t>
      </w:r>
      <w:r>
        <w:t xml:space="preserve"> global</w:t>
      </w:r>
      <w:r w:rsidRPr="00CD541B">
        <w:t xml:space="preserve"> du marché.</w:t>
      </w:r>
    </w:p>
    <w:p w14:paraId="7DD8B4A6" w14:textId="3365F54E" w:rsidR="00E043DA" w:rsidRDefault="00E043DA" w:rsidP="00E043DA">
      <w:pPr>
        <w:tabs>
          <w:tab w:val="left" w:pos="426"/>
        </w:tabs>
        <w:spacing w:after="120"/>
        <w:jc w:val="both"/>
      </w:pPr>
      <w:r w:rsidRPr="00CD541B">
        <w:rPr>
          <w:noProof/>
          <w:lang w:eastAsia="fr-FR"/>
        </w:rPr>
        <w:drawing>
          <wp:anchor distT="0" distB="0" distL="114300" distR="114300" simplePos="0" relativeHeight="251827200" behindDoc="1" locked="0" layoutInCell="1" allowOverlap="1" wp14:anchorId="7D974434" wp14:editId="44A070A7">
            <wp:simplePos x="0" y="0"/>
            <wp:positionH relativeFrom="margin">
              <wp:align>left</wp:align>
            </wp:positionH>
            <wp:positionV relativeFrom="paragraph">
              <wp:posOffset>11455</wp:posOffset>
            </wp:positionV>
            <wp:extent cx="325755" cy="325755"/>
            <wp:effectExtent l="0" t="0" r="0" b="0"/>
            <wp:wrapTight wrapText="bothSides">
              <wp:wrapPolygon edited="0">
                <wp:start x="0" y="0"/>
                <wp:lineTo x="0" y="18947"/>
                <wp:lineTo x="15158" y="20211"/>
                <wp:lineTo x="20211" y="20211"/>
                <wp:lineTo x="20211" y="0"/>
                <wp:lineTo x="0" y="0"/>
              </wp:wrapPolygon>
            </wp:wrapTight>
            <wp:docPr id="32" name="Image 32" descr="K:\1ESD\1C\COMMUN1C\06. OECP\3 - GT OECP\GT_acces-TPE-PME\Projet de guide\Icônes\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1ESD\1C\COMMUN1C\06. OECP\3 - GT OECP\GT_acces-TPE-PME\Projet de guide\Icônes\book.png"/>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27651" cy="327651"/>
                    </a:xfrm>
                    <a:prstGeom prst="rect">
                      <a:avLst/>
                    </a:prstGeom>
                    <a:noFill/>
                    <a:ln>
                      <a:noFill/>
                    </a:ln>
                  </pic:spPr>
                </pic:pic>
              </a:graphicData>
            </a:graphic>
            <wp14:sizeRelH relativeFrom="margin">
              <wp14:pctWidth>0</wp14:pctWidth>
            </wp14:sizeRelH>
            <wp14:sizeRelV relativeFrom="margin">
              <wp14:pctHeight>0</wp14:pctHeight>
            </wp14:sizeRelV>
          </wp:anchor>
        </w:drawing>
      </w:r>
      <w:r>
        <w:t>L</w:t>
      </w:r>
      <w:r w:rsidRPr="00CD541B">
        <w:t>’article R</w:t>
      </w:r>
      <w:r>
        <w:t>.</w:t>
      </w:r>
      <w:r w:rsidRPr="00CD541B">
        <w:t xml:space="preserve"> 2151-15 </w:t>
      </w:r>
      <w:r>
        <w:t xml:space="preserve">du CCP prévoit ainsi </w:t>
      </w:r>
      <w:r w:rsidRPr="00CD541B">
        <w:t>que : « </w:t>
      </w:r>
      <w:r w:rsidRPr="00CD541B">
        <w:rPr>
          <w:i/>
        </w:rPr>
        <w:t xml:space="preserve">dans les documents de la consultation, l'acheteur peut exiger que les offres soient accompagnées d'échantillons, de maquettes ou de prototypes ainsi que de tout document permettant d'apprécier l'offre. </w:t>
      </w:r>
      <w:r w:rsidRPr="00914E6D">
        <w:rPr>
          <w:i/>
        </w:rPr>
        <w:t>Lorsque ces demandes impliquent un investissement significatif pour les soumissionnaires, elles donnent lieu au versement d'une prime </w:t>
      </w:r>
      <w:r w:rsidRPr="00914E6D">
        <w:t>».</w:t>
      </w:r>
      <w:r w:rsidRPr="00CD541B">
        <w:t xml:space="preserve"> </w:t>
      </w:r>
    </w:p>
    <w:p w14:paraId="28053EE5" w14:textId="146C3166" w:rsidR="00CD541B" w:rsidRPr="00CD541B" w:rsidRDefault="00CD541B" w:rsidP="00CD541B">
      <w:pPr>
        <w:tabs>
          <w:tab w:val="left" w:pos="1256"/>
        </w:tabs>
        <w:spacing w:after="120"/>
        <w:jc w:val="both"/>
      </w:pPr>
      <w:r w:rsidRPr="00CD541B">
        <w:t xml:space="preserve">De même, la participation des candidats à certaines procédures ou techniques d’achat spécifiques peut également donner lieu à une </w:t>
      </w:r>
      <w:r w:rsidRPr="00E27CC0">
        <w:rPr>
          <w:b/>
        </w:rPr>
        <w:t>compensation pécuniaire</w:t>
      </w:r>
      <w:r w:rsidR="00996B96">
        <w:t xml:space="preserve"> prévue dans les documents de la consultation</w:t>
      </w:r>
      <w:r w:rsidRPr="00CD541B">
        <w:rPr>
          <w:vertAlign w:val="superscript"/>
        </w:rPr>
        <w:footnoteReference w:id="34"/>
      </w:r>
      <w:r w:rsidRPr="00CD541B">
        <w:t>.</w:t>
      </w:r>
    </w:p>
    <w:p w14:paraId="713FA93C" w14:textId="15AFC39D" w:rsidR="00C614B1" w:rsidRDefault="00E27CC0" w:rsidP="00CD541B">
      <w:pPr>
        <w:tabs>
          <w:tab w:val="left" w:pos="1256"/>
        </w:tabs>
        <w:spacing w:after="120"/>
        <w:jc w:val="both"/>
      </w:pPr>
      <w:r w:rsidRPr="004A300C">
        <w:rPr>
          <w:noProof/>
          <w:lang w:eastAsia="fr-FR"/>
        </w:rPr>
        <w:drawing>
          <wp:anchor distT="0" distB="0" distL="114300" distR="114300" simplePos="0" relativeHeight="251802624" behindDoc="1" locked="0" layoutInCell="1" allowOverlap="1" wp14:anchorId="5E284485" wp14:editId="35FCEA53">
            <wp:simplePos x="0" y="0"/>
            <wp:positionH relativeFrom="margin">
              <wp:align>right</wp:align>
            </wp:positionH>
            <wp:positionV relativeFrom="paragraph">
              <wp:posOffset>10215</wp:posOffset>
            </wp:positionV>
            <wp:extent cx="438785" cy="438785"/>
            <wp:effectExtent l="0" t="0" r="0" b="0"/>
            <wp:wrapTight wrapText="bothSides">
              <wp:wrapPolygon edited="0">
                <wp:start x="5627" y="0"/>
                <wp:lineTo x="0" y="5627"/>
                <wp:lineTo x="0" y="16880"/>
                <wp:lineTo x="1876" y="20631"/>
                <wp:lineTo x="16880" y="20631"/>
                <wp:lineTo x="20631" y="9378"/>
                <wp:lineTo x="20631" y="6564"/>
                <wp:lineTo x="13129" y="0"/>
                <wp:lineTo x="5627" y="0"/>
              </wp:wrapPolygon>
            </wp:wrapTight>
            <wp:docPr id="52" name="Image 52" descr="K:\1ESD\1C\COMMUN1C\06. OECP\3 - GT OECP\GT_acces-TPE-PME\Projet de guide\Icônes et schémas\piggyb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1ESD\1C\COMMUN1C\06. OECP\3 - GT OECP\GT_acces-TPE-PME\Projet de guide\Icônes et schémas\piggybank.png"/>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541B" w:rsidRPr="00CD541B">
        <w:t>Les modalités de cette compensation</w:t>
      </w:r>
      <w:r w:rsidR="00E46BF1">
        <w:t xml:space="preserve"> </w:t>
      </w:r>
      <w:r w:rsidR="00E46BF1" w:rsidRPr="00CD541B">
        <w:t xml:space="preserve">(montant, etc.) </w:t>
      </w:r>
      <w:r w:rsidR="00CD541B" w:rsidRPr="00CD541B">
        <w:t xml:space="preserve">sont </w:t>
      </w:r>
      <w:r w:rsidR="00CD541B" w:rsidRPr="00E27CC0">
        <w:rPr>
          <w:b/>
        </w:rPr>
        <w:t>à la discrétion des acheteurs</w:t>
      </w:r>
      <w:r w:rsidR="00CD541B" w:rsidRPr="00CD541B">
        <w:t xml:space="preserve">, dans le respect d’une </w:t>
      </w:r>
      <w:r w:rsidR="00CD541B" w:rsidRPr="004A300C">
        <w:t xml:space="preserve">certaine proportionnalité. </w:t>
      </w:r>
      <w:r w:rsidR="00C614B1">
        <w:t>Elle ne concerne que les candidats non retenus</w:t>
      </w:r>
      <w:r w:rsidR="008E003C">
        <w:t xml:space="preserve">, le montant de la prime étant déduit de la rémunération du titulaire du marché. </w:t>
      </w:r>
      <w:r w:rsidR="00C614B1">
        <w:t xml:space="preserve"> </w:t>
      </w:r>
    </w:p>
    <w:p w14:paraId="6C4A9B26" w14:textId="324C50F1" w:rsidR="00CD541B" w:rsidRPr="004A300C" w:rsidRDefault="00CD541B" w:rsidP="00CD541B">
      <w:pPr>
        <w:tabs>
          <w:tab w:val="left" w:pos="1256"/>
        </w:tabs>
        <w:spacing w:after="120"/>
        <w:jc w:val="both"/>
      </w:pPr>
      <w:r w:rsidRPr="004A300C">
        <w:t>Ne peuvent être indemnisées que les offres conformes au cahier des charges. Les frais engagés étant forcément disparates d’un opérateur à l’autre, il ne s’agit pas de les rembourser en intégralité : le principe est celui d’une indemnisation forfaitaire.</w:t>
      </w:r>
    </w:p>
    <w:p w14:paraId="052EF758" w14:textId="25C4ABF2" w:rsidR="00CD541B" w:rsidRPr="00CD541B" w:rsidRDefault="00E27CC0" w:rsidP="004A3509">
      <w:pPr>
        <w:spacing w:after="180"/>
        <w:jc w:val="both"/>
      </w:pPr>
      <w:r w:rsidRPr="00E27CC0">
        <w:rPr>
          <w:u w:val="single"/>
        </w:rPr>
        <w:t>NB</w:t>
      </w:r>
      <w:r>
        <w:t> : i</w:t>
      </w:r>
      <w:r w:rsidR="00B0797B">
        <w:t xml:space="preserve">l convient enfin de préciser que </w:t>
      </w:r>
      <w:r w:rsidR="00B0797B" w:rsidRPr="00B0797B">
        <w:rPr>
          <w:b/>
        </w:rPr>
        <w:t>l’indemnisation ne confère pas</w:t>
      </w:r>
      <w:r w:rsidR="00B0797B">
        <w:t xml:space="preserve"> en elle-même </w:t>
      </w:r>
      <w:r w:rsidR="00B0797B" w:rsidRPr="00B0797B">
        <w:rPr>
          <w:b/>
        </w:rPr>
        <w:t>un droit</w:t>
      </w:r>
      <w:r w:rsidR="00B0797B">
        <w:t xml:space="preserve"> pour l’acheteur sur la prestation ou l’étude fournie à l’appui de l’offre. Les éléments constituant le savoir-faire (idées, création…) des opérateurs économiques ne peu</w:t>
      </w:r>
      <w:r w:rsidR="00945925">
        <w:t>ven</w:t>
      </w:r>
      <w:r w:rsidR="00B0797B">
        <w:t xml:space="preserve">t être repris et réutilisés sans leur autorisation. </w:t>
      </w:r>
    </w:p>
    <w:p w14:paraId="1071D9E9" w14:textId="1A289E9D" w:rsidR="00C36D64" w:rsidRDefault="00C36D64" w:rsidP="00EA40BF">
      <w:pPr>
        <w:spacing w:before="120"/>
        <w:jc w:val="both"/>
        <w:rPr>
          <w:b/>
          <w:caps/>
          <w:color w:val="FFFFFF" w:themeColor="background1"/>
          <w:spacing w:val="15"/>
          <w:sz w:val="22"/>
          <w:szCs w:val="22"/>
        </w:rPr>
      </w:pPr>
      <w:r w:rsidRPr="006136A7">
        <w:t>Pour aller plus loin</w:t>
      </w:r>
      <w:r w:rsidR="00EA40BF">
        <w:t xml:space="preserve"> (concernant l</w:t>
      </w:r>
      <w:r w:rsidR="00EA40BF" w:rsidRPr="00EA40BF">
        <w:t xml:space="preserve">e cas particulier </w:t>
      </w:r>
      <w:r w:rsidR="00EA40BF">
        <w:t xml:space="preserve">des marchés publics </w:t>
      </w:r>
      <w:r w:rsidR="00EA40BF" w:rsidRPr="00EA40BF">
        <w:t>de maîtrise d'œuvre, de conception-réalisation ou globaux de performance</w:t>
      </w:r>
      <w:r w:rsidR="00EA40BF">
        <w:t>),</w:t>
      </w:r>
      <w:r w:rsidRPr="006136A7">
        <w:t xml:space="preserve"> vous pouvez consulte</w:t>
      </w:r>
      <w:r>
        <w:t xml:space="preserve">r la fiche de la DAJ dédiée à </w:t>
      </w:r>
      <w:hyperlink r:id="rId70" w:history="1">
        <w:r w:rsidRPr="00C36D64">
          <w:rPr>
            <w:rStyle w:val="Lienhypertexte"/>
          </w:rPr>
          <w:t>la remise d’échantillons, de maquettes et de prototypes dans le cadre de la passation des marchés publics</w:t>
        </w:r>
      </w:hyperlink>
      <w:r>
        <w:t>.</w:t>
      </w:r>
    </w:p>
    <w:p w14:paraId="1C42D8E9" w14:textId="77777777" w:rsidR="00CD541B" w:rsidRDefault="00CD541B">
      <w:pPr>
        <w:rPr>
          <w:b/>
          <w:caps/>
          <w:color w:val="FFFFFF" w:themeColor="background1"/>
          <w:spacing w:val="15"/>
          <w:sz w:val="22"/>
          <w:szCs w:val="22"/>
        </w:rPr>
      </w:pPr>
    </w:p>
    <w:p w14:paraId="5121E5D9" w14:textId="77777777" w:rsidR="00CD541B" w:rsidRDefault="00CD541B">
      <w:pPr>
        <w:rPr>
          <w:b/>
          <w:caps/>
          <w:color w:val="FFFFFF" w:themeColor="background1"/>
          <w:spacing w:val="15"/>
          <w:sz w:val="22"/>
          <w:szCs w:val="22"/>
        </w:rPr>
      </w:pPr>
      <w:r>
        <w:br w:type="page"/>
      </w:r>
    </w:p>
    <w:p w14:paraId="33D75315" w14:textId="2CA8AE37" w:rsidR="00012F80" w:rsidRDefault="00012F80" w:rsidP="00012F80">
      <w:pPr>
        <w:pStyle w:val="Titre"/>
        <w:jc w:val="center"/>
      </w:pPr>
      <w:r>
        <w:lastRenderedPageBreak/>
        <w:t>Suivi d’exécution du marché</w:t>
      </w:r>
    </w:p>
    <w:p w14:paraId="6D9EEBBA" w14:textId="66BE4EF7" w:rsidR="00B82771" w:rsidRDefault="00B82771" w:rsidP="00FA2C14">
      <w:pPr>
        <w:pStyle w:val="Titre1"/>
        <w:spacing w:after="240"/>
      </w:pPr>
      <w:bookmarkStart w:id="34" w:name="_Toc7425938"/>
      <w:r>
        <w:t xml:space="preserve">Fiche 11 : </w:t>
      </w:r>
      <w:r w:rsidR="001C1646">
        <w:t>Verser des</w:t>
      </w:r>
      <w:r w:rsidR="00B96A0A">
        <w:t xml:space="preserve"> a</w:t>
      </w:r>
      <w:r>
        <w:t>vances</w:t>
      </w:r>
      <w:r w:rsidR="00A86776">
        <w:t xml:space="preserve"> proportionné</w:t>
      </w:r>
      <w:r w:rsidR="001C1646">
        <w:t>es</w:t>
      </w:r>
      <w:bookmarkEnd w:id="34"/>
    </w:p>
    <w:p w14:paraId="251342A7" w14:textId="7D1ADA20" w:rsidR="006C2C88" w:rsidRDefault="006C2C88" w:rsidP="006C2C88">
      <w:pPr>
        <w:pStyle w:val="Titre3"/>
        <w:spacing w:after="120"/>
        <w:rPr>
          <w:rFonts w:eastAsia="Times New Roman"/>
          <w:lang w:eastAsia="fr-FR"/>
        </w:rPr>
      </w:pPr>
      <w:bookmarkStart w:id="35" w:name="_Toc7425939"/>
      <w:r>
        <w:rPr>
          <w:rFonts w:eastAsia="Times New Roman"/>
          <w:lang w:eastAsia="fr-FR"/>
        </w:rPr>
        <w:t>Le principe général de l’avance</w:t>
      </w:r>
      <w:bookmarkEnd w:id="35"/>
      <w:r>
        <w:rPr>
          <w:rFonts w:eastAsia="Times New Roman"/>
          <w:lang w:eastAsia="fr-FR"/>
        </w:rPr>
        <w:t xml:space="preserve"> </w:t>
      </w:r>
    </w:p>
    <w:p w14:paraId="5E0C0F11" w14:textId="36AD7BE9" w:rsidR="00FA2C14" w:rsidRDefault="00D17B18" w:rsidP="00D17B18">
      <w:pPr>
        <w:spacing w:after="120"/>
        <w:ind w:left="227" w:right="227"/>
        <w:jc w:val="both"/>
        <w:rPr>
          <w:rFonts w:eastAsia="Times New Roman" w:cs="Arial"/>
          <w:szCs w:val="21"/>
          <w:lang w:eastAsia="fr-FR"/>
        </w:rPr>
      </w:pPr>
      <w:r w:rsidRPr="00CD541B">
        <w:rPr>
          <w:noProof/>
          <w:lang w:eastAsia="fr-FR"/>
        </w:rPr>
        <w:drawing>
          <wp:anchor distT="0" distB="0" distL="114300" distR="114300" simplePos="0" relativeHeight="251806720" behindDoc="1" locked="0" layoutInCell="1" allowOverlap="1" wp14:anchorId="387763AD" wp14:editId="13362FBA">
            <wp:simplePos x="0" y="0"/>
            <wp:positionH relativeFrom="margin">
              <wp:posOffset>171450</wp:posOffset>
            </wp:positionH>
            <wp:positionV relativeFrom="paragraph">
              <wp:posOffset>7620</wp:posOffset>
            </wp:positionV>
            <wp:extent cx="340995" cy="340995"/>
            <wp:effectExtent l="0" t="0" r="1905" b="1905"/>
            <wp:wrapTight wrapText="bothSides">
              <wp:wrapPolygon edited="0">
                <wp:start x="0" y="0"/>
                <wp:lineTo x="0" y="19307"/>
                <wp:lineTo x="15687" y="20514"/>
                <wp:lineTo x="20514" y="20514"/>
                <wp:lineTo x="20514" y="0"/>
                <wp:lineTo x="0" y="0"/>
              </wp:wrapPolygon>
            </wp:wrapTight>
            <wp:docPr id="11" name="Image 11" descr="K:\1ESD\1C\COMMUN1C\06. OECP\3 - GT OECP\GT_acces-TPE-PME\Projet de guide\Icônes\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1ESD\1C\COMMUN1C\06. OECP\3 - GT OECP\GT_acces-TPE-PME\Projet de guide\Icônes\book.png"/>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40995" cy="3409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imes New Roman" w:cs="Arial"/>
          <w:szCs w:val="21"/>
          <w:lang w:eastAsia="fr-FR"/>
        </w:rPr>
        <w:t xml:space="preserve">D’après </w:t>
      </w:r>
      <w:r w:rsidRPr="00D17B18">
        <w:rPr>
          <w:rFonts w:eastAsia="Times New Roman" w:cs="Arial"/>
          <w:szCs w:val="21"/>
          <w:lang w:eastAsia="fr-FR"/>
        </w:rPr>
        <w:t>l’article L. 2191-4 du CCP, l</w:t>
      </w:r>
      <w:r w:rsidR="008C783B" w:rsidRPr="008C783B">
        <w:rPr>
          <w:rFonts w:eastAsia="Times New Roman" w:cs="Arial"/>
          <w:szCs w:val="21"/>
          <w:lang w:eastAsia="fr-FR"/>
        </w:rPr>
        <w:t xml:space="preserve">’avance correspond au </w:t>
      </w:r>
      <w:r w:rsidR="008C783B" w:rsidRPr="00FA2C14">
        <w:rPr>
          <w:rFonts w:eastAsia="Times New Roman" w:cs="Arial"/>
          <w:b/>
          <w:szCs w:val="21"/>
          <w:lang w:eastAsia="fr-FR"/>
        </w:rPr>
        <w:t>versement</w:t>
      </w:r>
      <w:r w:rsidR="008C783B" w:rsidRPr="008C783B">
        <w:rPr>
          <w:rFonts w:eastAsia="Times New Roman" w:cs="Arial"/>
          <w:szCs w:val="21"/>
          <w:lang w:eastAsia="fr-FR"/>
        </w:rPr>
        <w:t xml:space="preserve"> d’une partie du montant du marché public au titulaire </w:t>
      </w:r>
      <w:r w:rsidR="008C783B" w:rsidRPr="00FA2C14">
        <w:rPr>
          <w:rFonts w:eastAsia="Times New Roman" w:cs="Arial"/>
          <w:b/>
          <w:szCs w:val="21"/>
          <w:lang w:eastAsia="fr-FR"/>
        </w:rPr>
        <w:t xml:space="preserve">avant tout commencement d’exécution </w:t>
      </w:r>
      <w:r w:rsidR="008C783B" w:rsidRPr="008C783B">
        <w:rPr>
          <w:rFonts w:eastAsia="Times New Roman" w:cs="Arial"/>
          <w:szCs w:val="21"/>
          <w:lang w:eastAsia="fr-FR"/>
        </w:rPr>
        <w:t>de ses prestations</w:t>
      </w:r>
      <w:r w:rsidR="008C783B">
        <w:rPr>
          <w:rFonts w:eastAsia="Times New Roman" w:cs="Arial"/>
          <w:szCs w:val="21"/>
          <w:lang w:eastAsia="fr-FR"/>
        </w:rPr>
        <w:t xml:space="preserve">, </w:t>
      </w:r>
      <w:r w:rsidR="00FA2C14">
        <w:rPr>
          <w:rFonts w:eastAsia="Times New Roman" w:cs="Arial"/>
          <w:szCs w:val="21"/>
          <w:lang w:eastAsia="fr-FR"/>
        </w:rPr>
        <w:t xml:space="preserve">contrairement à </w:t>
      </w:r>
      <w:r w:rsidR="00FA2C14" w:rsidRPr="00FA2C14">
        <w:rPr>
          <w:rFonts w:eastAsia="Times New Roman" w:cs="Arial"/>
          <w:szCs w:val="21"/>
          <w:lang w:eastAsia="fr-FR"/>
        </w:rPr>
        <w:t>l’acompte qui concerne les prestations</w:t>
      </w:r>
      <w:r w:rsidR="00FA2C14">
        <w:rPr>
          <w:rFonts w:eastAsia="Times New Roman" w:cs="Arial"/>
          <w:szCs w:val="21"/>
          <w:lang w:eastAsia="fr-FR"/>
        </w:rPr>
        <w:t xml:space="preserve"> ayant</w:t>
      </w:r>
      <w:r w:rsidR="00FA2C14" w:rsidRPr="00FA2C14">
        <w:rPr>
          <w:rFonts w:eastAsia="Times New Roman" w:cs="Arial"/>
          <w:szCs w:val="21"/>
          <w:lang w:eastAsia="fr-FR"/>
        </w:rPr>
        <w:t xml:space="preserve"> donné lieu à un commencement d'exécution.</w:t>
      </w:r>
    </w:p>
    <w:p w14:paraId="6D1B404C" w14:textId="0CC4FE76" w:rsidR="00AC6C17" w:rsidRDefault="00AC6C17" w:rsidP="00AC6C17">
      <w:pPr>
        <w:spacing w:after="120"/>
        <w:jc w:val="center"/>
        <w:rPr>
          <w:rFonts w:eastAsia="Times New Roman" w:cs="Arial"/>
          <w:szCs w:val="21"/>
          <w:lang w:eastAsia="fr-FR"/>
        </w:rPr>
      </w:pPr>
      <w:r>
        <w:rPr>
          <w:rFonts w:eastAsia="Times New Roman" w:cs="Arial"/>
          <w:noProof/>
          <w:szCs w:val="21"/>
          <w:lang w:eastAsia="fr-FR"/>
        </w:rPr>
        <w:drawing>
          <wp:inline distT="0" distB="0" distL="0" distR="0" wp14:anchorId="14A83756" wp14:editId="30FF184D">
            <wp:extent cx="3371601" cy="709683"/>
            <wp:effectExtent l="0" t="0" r="635" b="0"/>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421845" cy="720259"/>
                    </a:xfrm>
                    <a:prstGeom prst="rect">
                      <a:avLst/>
                    </a:prstGeom>
                    <a:noFill/>
                  </pic:spPr>
                </pic:pic>
              </a:graphicData>
            </a:graphic>
          </wp:inline>
        </w:drawing>
      </w:r>
    </w:p>
    <w:p w14:paraId="243E15AC" w14:textId="452150AF" w:rsidR="008C783B" w:rsidRPr="008C783B" w:rsidRDefault="00FA2C14" w:rsidP="008C783B">
      <w:pPr>
        <w:spacing w:after="120"/>
        <w:jc w:val="both"/>
        <w:rPr>
          <w:rFonts w:eastAsia="Times New Roman" w:cs="Arial"/>
          <w:szCs w:val="21"/>
          <w:lang w:eastAsia="fr-FR"/>
        </w:rPr>
      </w:pPr>
      <w:r>
        <w:rPr>
          <w:rFonts w:eastAsia="Times New Roman" w:cs="Arial"/>
          <w:szCs w:val="21"/>
          <w:lang w:eastAsia="fr-FR"/>
        </w:rPr>
        <w:t>Il s’agit d’une d</w:t>
      </w:r>
      <w:r w:rsidR="008C783B" w:rsidRPr="008C783B">
        <w:rPr>
          <w:rFonts w:eastAsia="Times New Roman" w:cs="Arial"/>
          <w:szCs w:val="21"/>
          <w:lang w:eastAsia="fr-FR"/>
        </w:rPr>
        <w:t>érogation à la règle du « service fait »</w:t>
      </w:r>
      <w:r w:rsidR="00AC6C17">
        <w:rPr>
          <w:rFonts w:eastAsia="Times New Roman" w:cs="Arial"/>
          <w:szCs w:val="21"/>
          <w:lang w:eastAsia="fr-FR"/>
        </w:rPr>
        <w:t>,</w:t>
      </w:r>
      <w:r w:rsidR="00EE395F">
        <w:rPr>
          <w:rFonts w:eastAsia="Times New Roman" w:cs="Arial"/>
          <w:szCs w:val="21"/>
          <w:lang w:eastAsia="fr-FR"/>
        </w:rPr>
        <w:t xml:space="preserve"> selon laquelle l’exécution du service est un préalable au paiement</w:t>
      </w:r>
      <w:r w:rsidR="00EE395F">
        <w:rPr>
          <w:rStyle w:val="Appelnotedebasdep"/>
          <w:rFonts w:eastAsia="Times New Roman" w:cs="Arial"/>
          <w:szCs w:val="21"/>
          <w:lang w:eastAsia="fr-FR"/>
        </w:rPr>
        <w:footnoteReference w:id="35"/>
      </w:r>
      <w:r w:rsidR="00EE395F">
        <w:rPr>
          <w:rFonts w:eastAsia="Times New Roman" w:cs="Arial"/>
          <w:szCs w:val="21"/>
          <w:lang w:eastAsia="fr-FR"/>
        </w:rPr>
        <w:t>.</w:t>
      </w:r>
      <w:r w:rsidR="008C783B">
        <w:rPr>
          <w:rFonts w:eastAsia="Times New Roman" w:cs="Arial"/>
          <w:szCs w:val="21"/>
          <w:lang w:eastAsia="fr-FR"/>
        </w:rPr>
        <w:t xml:space="preserve"> </w:t>
      </w:r>
      <w:r w:rsidR="00EE395F">
        <w:rPr>
          <w:rFonts w:eastAsia="Times New Roman" w:cs="Arial"/>
          <w:szCs w:val="21"/>
          <w:lang w:eastAsia="fr-FR"/>
        </w:rPr>
        <w:t xml:space="preserve">Le principe de l’avance </w:t>
      </w:r>
      <w:r w:rsidR="008C783B" w:rsidRPr="008C783B">
        <w:rPr>
          <w:rFonts w:eastAsia="Times New Roman" w:cs="Arial"/>
          <w:szCs w:val="21"/>
          <w:lang w:eastAsia="fr-FR"/>
        </w:rPr>
        <w:t>s’applique de droit aux marchés publics passés par l’État, ses établissements publics autres que ceux ayant un caractère industriel et commercial, les collectivités territoriales, leurs établissements publics et leurs groupements.</w:t>
      </w:r>
    </w:p>
    <w:p w14:paraId="194D407A" w14:textId="2A21346C" w:rsidR="00B0252A" w:rsidRDefault="005E5CC2" w:rsidP="008C783B">
      <w:pPr>
        <w:spacing w:after="60"/>
        <w:jc w:val="both"/>
        <w:rPr>
          <w:rFonts w:eastAsia="Times New Roman" w:cs="Arial"/>
          <w:szCs w:val="21"/>
          <w:lang w:eastAsia="fr-FR"/>
        </w:rPr>
      </w:pPr>
      <w:r w:rsidRPr="005E5CC2">
        <w:rPr>
          <w:rFonts w:eastAsia="Times New Roman" w:cs="Arial"/>
          <w:noProof/>
          <w:szCs w:val="21"/>
          <w:lang w:eastAsia="fr-FR"/>
        </w:rPr>
        <w:drawing>
          <wp:anchor distT="0" distB="0" distL="114300" distR="114300" simplePos="0" relativeHeight="251770880" behindDoc="1" locked="0" layoutInCell="1" allowOverlap="1" wp14:anchorId="32235FF5" wp14:editId="1ACF912A">
            <wp:simplePos x="0" y="0"/>
            <wp:positionH relativeFrom="column">
              <wp:posOffset>5310008</wp:posOffset>
            </wp:positionH>
            <wp:positionV relativeFrom="paragraph">
              <wp:posOffset>10519</wp:posOffset>
            </wp:positionV>
            <wp:extent cx="436880" cy="436880"/>
            <wp:effectExtent l="0" t="0" r="1270" b="1270"/>
            <wp:wrapTight wrapText="bothSides">
              <wp:wrapPolygon edited="0">
                <wp:start x="9419" y="0"/>
                <wp:lineTo x="0" y="7535"/>
                <wp:lineTo x="0" y="19779"/>
                <wp:lineTo x="10360" y="20721"/>
                <wp:lineTo x="17895" y="20721"/>
                <wp:lineTo x="20721" y="17895"/>
                <wp:lineTo x="20721" y="2826"/>
                <wp:lineTo x="16012" y="0"/>
                <wp:lineTo x="9419" y="0"/>
              </wp:wrapPolygon>
            </wp:wrapTight>
            <wp:docPr id="7" name="Image 7" descr="K:\1ESD\1C\COMMUN1C\06. OECP\3 - GT OECP\GT_acces-TPE-PME\Projet de guide\Icônes\big-euro-coin-on-h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1ESD\1C\COMMUN1C\06. OECP\3 - GT OECP\GT_acces-TPE-PME\Projet de guide\Icônes\big-euro-coin-on-hand.png"/>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36880" cy="436880"/>
                    </a:xfrm>
                    <a:prstGeom prst="rect">
                      <a:avLst/>
                    </a:prstGeom>
                    <a:noFill/>
                    <a:ln>
                      <a:noFill/>
                    </a:ln>
                  </pic:spPr>
                </pic:pic>
              </a:graphicData>
            </a:graphic>
          </wp:anchor>
        </w:drawing>
      </w:r>
      <w:r w:rsidR="008C783B" w:rsidRPr="008C783B">
        <w:rPr>
          <w:rFonts w:eastAsia="Times New Roman" w:cs="Arial"/>
          <w:szCs w:val="21"/>
          <w:lang w:eastAsia="fr-FR"/>
        </w:rPr>
        <w:t xml:space="preserve">Dans les cas où </w:t>
      </w:r>
      <w:r w:rsidR="002C54D6">
        <w:rPr>
          <w:rFonts w:eastAsia="Times New Roman" w:cs="Arial"/>
          <w:szCs w:val="21"/>
          <w:lang w:eastAsia="fr-FR"/>
        </w:rPr>
        <w:t xml:space="preserve">l’avance est obligatoire, soit pour tout </w:t>
      </w:r>
      <w:r w:rsidR="008C783B" w:rsidRPr="002769A2">
        <w:rPr>
          <w:rFonts w:eastAsia="Times New Roman" w:cs="Arial"/>
          <w:szCs w:val="21"/>
          <w:lang w:eastAsia="fr-FR"/>
        </w:rPr>
        <w:t xml:space="preserve">marché </w:t>
      </w:r>
      <w:r w:rsidR="00B0252A">
        <w:rPr>
          <w:rFonts w:eastAsia="Times New Roman" w:cs="Arial"/>
          <w:szCs w:val="21"/>
          <w:lang w:eastAsia="fr-FR"/>
        </w:rPr>
        <w:t>« ordinaire » ou pour tout bon de commande (dans le cas d’un accord-cadre passé sans montant minimum)</w:t>
      </w:r>
      <w:r w:rsidR="00B0252A" w:rsidRPr="002769A2">
        <w:rPr>
          <w:rFonts w:eastAsia="Times New Roman" w:cs="Arial"/>
          <w:szCs w:val="21"/>
          <w:lang w:eastAsia="fr-FR"/>
        </w:rPr>
        <w:t xml:space="preserve"> </w:t>
      </w:r>
      <w:r w:rsidR="008C783B" w:rsidRPr="002769A2">
        <w:rPr>
          <w:rFonts w:eastAsia="Times New Roman" w:cs="Arial"/>
          <w:szCs w:val="21"/>
          <w:lang w:eastAsia="fr-FR"/>
        </w:rPr>
        <w:t>supérieur à 50 000 €</w:t>
      </w:r>
      <w:r w:rsidR="00EE395F">
        <w:rPr>
          <w:rFonts w:eastAsia="Times New Roman" w:cs="Arial"/>
          <w:szCs w:val="21"/>
          <w:lang w:eastAsia="fr-FR"/>
        </w:rPr>
        <w:t xml:space="preserve"> </w:t>
      </w:r>
      <w:r w:rsidR="008C783B" w:rsidRPr="002769A2">
        <w:rPr>
          <w:rFonts w:eastAsia="Times New Roman" w:cs="Arial"/>
          <w:szCs w:val="21"/>
          <w:lang w:eastAsia="fr-FR"/>
        </w:rPr>
        <w:t xml:space="preserve">HT </w:t>
      </w:r>
      <w:r w:rsidR="008C783B" w:rsidRPr="00B0252A">
        <w:rPr>
          <w:rFonts w:eastAsia="Times New Roman" w:cs="Arial"/>
          <w:szCs w:val="21"/>
          <w:u w:val="single"/>
          <w:lang w:eastAsia="fr-FR"/>
        </w:rPr>
        <w:t>et</w:t>
      </w:r>
      <w:r w:rsidR="008C783B" w:rsidRPr="002769A2">
        <w:rPr>
          <w:rFonts w:eastAsia="Times New Roman" w:cs="Arial"/>
          <w:szCs w:val="21"/>
          <w:lang w:eastAsia="fr-FR"/>
        </w:rPr>
        <w:t xml:space="preserve"> dont le délai d’exécution s’étend au-delà de deux mois, l’acheteur doit prévoir les modalités de versement de l’avance</w:t>
      </w:r>
      <w:r w:rsidR="00FA73E3">
        <w:rPr>
          <w:rFonts w:eastAsia="Times New Roman" w:cs="Arial"/>
          <w:szCs w:val="21"/>
          <w:lang w:eastAsia="fr-FR"/>
        </w:rPr>
        <w:t xml:space="preserve"> dans les documents contractuels</w:t>
      </w:r>
      <w:r w:rsidR="002C54D6">
        <w:rPr>
          <w:rFonts w:eastAsia="Times New Roman" w:cs="Arial"/>
          <w:szCs w:val="21"/>
          <w:lang w:eastAsia="fr-FR"/>
        </w:rPr>
        <w:t>. Son</w:t>
      </w:r>
      <w:r w:rsidR="008C783B" w:rsidRPr="002769A2">
        <w:rPr>
          <w:rFonts w:eastAsia="Times New Roman" w:cs="Arial"/>
          <w:szCs w:val="21"/>
          <w:lang w:eastAsia="fr-FR"/>
        </w:rPr>
        <w:t xml:space="preserve"> montant est</w:t>
      </w:r>
      <w:r w:rsidR="00FA2C14" w:rsidRPr="002769A2">
        <w:rPr>
          <w:rFonts w:eastAsia="Times New Roman" w:cs="Arial"/>
          <w:szCs w:val="21"/>
          <w:lang w:eastAsia="fr-FR"/>
        </w:rPr>
        <w:t xml:space="preserve"> compris </w:t>
      </w:r>
      <w:r w:rsidR="00FA2C14" w:rsidRPr="002769A2">
        <w:rPr>
          <w:rFonts w:eastAsia="Times New Roman" w:cs="Arial"/>
          <w:b/>
          <w:szCs w:val="21"/>
          <w:lang w:eastAsia="fr-FR"/>
        </w:rPr>
        <w:t>entre 5 et 30</w:t>
      </w:r>
      <w:r w:rsidR="00790ACF">
        <w:rPr>
          <w:rFonts w:eastAsia="Times New Roman" w:cs="Arial"/>
          <w:b/>
          <w:szCs w:val="21"/>
          <w:lang w:eastAsia="fr-FR"/>
        </w:rPr>
        <w:t xml:space="preserve"> </w:t>
      </w:r>
      <w:r w:rsidR="00FA2C14" w:rsidRPr="002769A2">
        <w:rPr>
          <w:rFonts w:eastAsia="Times New Roman" w:cs="Arial"/>
          <w:b/>
          <w:szCs w:val="21"/>
          <w:lang w:eastAsia="fr-FR"/>
        </w:rPr>
        <w:t xml:space="preserve">% </w:t>
      </w:r>
      <w:r w:rsidR="008C783B" w:rsidRPr="002769A2">
        <w:rPr>
          <w:rFonts w:eastAsia="Times New Roman" w:cs="Arial"/>
          <w:b/>
          <w:szCs w:val="21"/>
          <w:lang w:eastAsia="fr-FR"/>
        </w:rPr>
        <w:t>de la valeur des prestations</w:t>
      </w:r>
      <w:r w:rsidR="008C783B" w:rsidRPr="002769A2">
        <w:rPr>
          <w:rStyle w:val="Appelnotedebasdep"/>
          <w:rFonts w:eastAsia="Times New Roman" w:cs="Arial"/>
          <w:szCs w:val="21"/>
          <w:lang w:eastAsia="fr-FR"/>
        </w:rPr>
        <w:footnoteReference w:id="36"/>
      </w:r>
      <w:r w:rsidR="008C783B" w:rsidRPr="002769A2">
        <w:rPr>
          <w:rFonts w:eastAsia="Times New Roman" w:cs="Arial"/>
          <w:szCs w:val="21"/>
          <w:lang w:eastAsia="fr-FR"/>
        </w:rPr>
        <w:t>.</w:t>
      </w:r>
      <w:r w:rsidR="008C783B" w:rsidRPr="008C783B">
        <w:rPr>
          <w:rFonts w:eastAsia="Times New Roman" w:cs="Arial"/>
          <w:szCs w:val="21"/>
          <w:lang w:eastAsia="fr-FR"/>
        </w:rPr>
        <w:t xml:space="preserve"> </w:t>
      </w:r>
    </w:p>
    <w:p w14:paraId="0D642D70" w14:textId="6847DF5A" w:rsidR="00422E5A" w:rsidRPr="008C783B" w:rsidRDefault="00B65C29" w:rsidP="008C783B">
      <w:pPr>
        <w:spacing w:after="60"/>
        <w:jc w:val="both"/>
        <w:rPr>
          <w:rFonts w:eastAsia="Times New Roman" w:cs="Arial"/>
          <w:szCs w:val="21"/>
          <w:lang w:eastAsia="fr-FR"/>
        </w:rPr>
      </w:pPr>
      <w:r>
        <w:rPr>
          <w:rFonts w:eastAsia="Times New Roman" w:cs="Arial"/>
          <w:szCs w:val="21"/>
          <w:lang w:eastAsia="fr-FR"/>
        </w:rPr>
        <w:t>Pour les marchés de l’Etat,</w:t>
      </w:r>
      <w:r w:rsidR="00EE395F">
        <w:rPr>
          <w:rFonts w:eastAsia="Times New Roman" w:cs="Arial"/>
          <w:szCs w:val="21"/>
          <w:lang w:eastAsia="fr-FR"/>
        </w:rPr>
        <w:t xml:space="preserve"> depuis décembre 2018,</w:t>
      </w:r>
      <w:r>
        <w:rPr>
          <w:rFonts w:eastAsia="Times New Roman" w:cs="Arial"/>
          <w:szCs w:val="21"/>
          <w:lang w:eastAsia="fr-FR"/>
        </w:rPr>
        <w:t xml:space="preserve"> </w:t>
      </w:r>
      <w:r w:rsidR="005E6957">
        <w:rPr>
          <w:rFonts w:eastAsia="Times New Roman" w:cs="Arial"/>
          <w:szCs w:val="21"/>
          <w:lang w:eastAsia="fr-FR"/>
        </w:rPr>
        <w:t>le montant de l’avance</w:t>
      </w:r>
      <w:r w:rsidR="00EE395F">
        <w:rPr>
          <w:rFonts w:eastAsia="Times New Roman" w:cs="Arial"/>
          <w:szCs w:val="21"/>
          <w:lang w:eastAsia="fr-FR"/>
        </w:rPr>
        <w:t xml:space="preserve"> est</w:t>
      </w:r>
      <w:r w:rsidR="005E6957">
        <w:rPr>
          <w:rFonts w:eastAsia="Times New Roman" w:cs="Arial"/>
          <w:szCs w:val="21"/>
          <w:lang w:eastAsia="fr-FR"/>
        </w:rPr>
        <w:t xml:space="preserve"> porté à 20</w:t>
      </w:r>
      <w:r w:rsidR="00790ACF">
        <w:rPr>
          <w:rFonts w:eastAsia="Times New Roman" w:cs="Arial"/>
          <w:szCs w:val="21"/>
          <w:lang w:eastAsia="fr-FR"/>
        </w:rPr>
        <w:t xml:space="preserve"> </w:t>
      </w:r>
      <w:r w:rsidR="005E6957">
        <w:rPr>
          <w:rFonts w:eastAsia="Times New Roman" w:cs="Arial"/>
          <w:szCs w:val="21"/>
          <w:lang w:eastAsia="fr-FR"/>
        </w:rPr>
        <w:t>%</w:t>
      </w:r>
      <w:r w:rsidR="00563390">
        <w:rPr>
          <w:rFonts w:eastAsia="Times New Roman" w:cs="Arial"/>
          <w:szCs w:val="21"/>
          <w:lang w:eastAsia="fr-FR"/>
        </w:rPr>
        <w:t xml:space="preserve"> si le titulaire </w:t>
      </w:r>
      <w:r w:rsidR="00EF613B" w:rsidRPr="00EF613B">
        <w:rPr>
          <w:rFonts w:eastAsia="Times New Roman" w:cs="Arial"/>
          <w:szCs w:val="21"/>
          <w:lang w:eastAsia="fr-FR"/>
        </w:rPr>
        <w:t xml:space="preserve">ou son sous-traitant admis au paiement direct </w:t>
      </w:r>
      <w:r w:rsidR="00563390">
        <w:rPr>
          <w:rFonts w:eastAsia="Times New Roman" w:cs="Arial"/>
          <w:szCs w:val="21"/>
          <w:lang w:eastAsia="fr-FR"/>
        </w:rPr>
        <w:t>est une TPE/PME</w:t>
      </w:r>
      <w:r w:rsidR="00563390">
        <w:rPr>
          <w:rStyle w:val="Appelnotedebasdep"/>
          <w:rFonts w:eastAsia="Times New Roman" w:cs="Arial"/>
          <w:szCs w:val="21"/>
          <w:lang w:eastAsia="fr-FR"/>
        </w:rPr>
        <w:footnoteReference w:id="37"/>
      </w:r>
      <w:r w:rsidR="00563390">
        <w:rPr>
          <w:rFonts w:eastAsia="Times New Roman" w:cs="Arial"/>
          <w:szCs w:val="21"/>
          <w:lang w:eastAsia="fr-FR"/>
        </w:rPr>
        <w:t xml:space="preserve">. </w:t>
      </w:r>
    </w:p>
    <w:p w14:paraId="67945043" w14:textId="56E4EDD2" w:rsidR="002769A2" w:rsidRPr="00F24A77" w:rsidRDefault="008C783B" w:rsidP="002769A2">
      <w:pPr>
        <w:spacing w:after="120"/>
        <w:jc w:val="both"/>
        <w:rPr>
          <w:rFonts w:eastAsia="Times New Roman" w:cs="Arial"/>
          <w:color w:val="FF0000"/>
          <w:szCs w:val="21"/>
          <w:lang w:eastAsia="fr-FR"/>
        </w:rPr>
      </w:pPr>
      <w:r w:rsidRPr="00F24A77">
        <w:rPr>
          <w:rFonts w:eastAsia="Times New Roman" w:cs="Arial"/>
          <w:color w:val="FF0000"/>
          <w:szCs w:val="21"/>
          <w:lang w:eastAsia="fr-FR"/>
        </w:rPr>
        <w:t>Dans les cas où</w:t>
      </w:r>
      <w:r w:rsidR="004A20B1" w:rsidRPr="00F24A77">
        <w:rPr>
          <w:rFonts w:eastAsia="Times New Roman" w:cs="Arial"/>
          <w:color w:val="FF0000"/>
          <w:szCs w:val="21"/>
          <w:lang w:eastAsia="fr-FR"/>
        </w:rPr>
        <w:t xml:space="preserve"> l‘acheteur n’est pas soumis à l’obligation de prévoir une avance (ex : offices publics de l’habitat</w:t>
      </w:r>
      <w:r w:rsidR="00523C66" w:rsidRPr="00F24A77">
        <w:rPr>
          <w:rFonts w:eastAsia="Times New Roman" w:cs="Arial"/>
          <w:color w:val="FF0000"/>
          <w:szCs w:val="21"/>
          <w:lang w:eastAsia="fr-FR"/>
        </w:rPr>
        <w:t>…</w:t>
      </w:r>
      <w:r w:rsidR="004A20B1" w:rsidRPr="00F24A77">
        <w:rPr>
          <w:rFonts w:eastAsia="Times New Roman" w:cs="Arial"/>
          <w:color w:val="FF0000"/>
          <w:szCs w:val="21"/>
          <w:lang w:eastAsia="fr-FR"/>
        </w:rPr>
        <w:t>) ou bien</w:t>
      </w:r>
      <w:r w:rsidR="00A1733A" w:rsidRPr="00F24A77">
        <w:rPr>
          <w:rFonts w:eastAsia="Times New Roman" w:cs="Arial"/>
          <w:color w:val="FF0000"/>
          <w:szCs w:val="21"/>
          <w:lang w:eastAsia="fr-FR"/>
        </w:rPr>
        <w:t xml:space="preserve"> lorsque</w:t>
      </w:r>
      <w:r w:rsidR="004A20B1" w:rsidRPr="00F24A77">
        <w:rPr>
          <w:rFonts w:eastAsia="Times New Roman" w:cs="Arial"/>
          <w:color w:val="FF0000"/>
          <w:szCs w:val="21"/>
          <w:lang w:eastAsia="fr-FR"/>
        </w:rPr>
        <w:t xml:space="preserve"> l’avance </w:t>
      </w:r>
      <w:r w:rsidR="00A1733A" w:rsidRPr="00F24A77">
        <w:rPr>
          <w:rFonts w:eastAsia="Times New Roman" w:cs="Arial"/>
          <w:color w:val="FF0000"/>
          <w:szCs w:val="21"/>
          <w:lang w:eastAsia="fr-FR"/>
        </w:rPr>
        <w:t xml:space="preserve">est facultative </w:t>
      </w:r>
      <w:r w:rsidR="004A20B1" w:rsidRPr="00F24A77">
        <w:rPr>
          <w:rFonts w:eastAsia="Times New Roman" w:cs="Arial"/>
          <w:color w:val="FF0000"/>
          <w:szCs w:val="21"/>
          <w:lang w:eastAsia="fr-FR"/>
        </w:rPr>
        <w:t>(montant inférieur à 50 000 €</w:t>
      </w:r>
      <w:r w:rsidR="00EE395F">
        <w:rPr>
          <w:rFonts w:eastAsia="Times New Roman" w:cs="Arial"/>
          <w:color w:val="FF0000"/>
          <w:szCs w:val="21"/>
          <w:lang w:eastAsia="fr-FR"/>
        </w:rPr>
        <w:t xml:space="preserve"> </w:t>
      </w:r>
      <w:r w:rsidR="004A20B1" w:rsidRPr="00F24A77">
        <w:rPr>
          <w:rFonts w:eastAsia="Times New Roman" w:cs="Arial"/>
          <w:color w:val="FF0000"/>
          <w:szCs w:val="21"/>
          <w:lang w:eastAsia="fr-FR"/>
        </w:rPr>
        <w:t>HT)</w:t>
      </w:r>
      <w:r w:rsidRPr="00F24A77">
        <w:rPr>
          <w:rFonts w:eastAsia="Times New Roman" w:cs="Arial"/>
          <w:color w:val="FF0000"/>
          <w:szCs w:val="21"/>
          <w:lang w:eastAsia="fr-FR"/>
        </w:rPr>
        <w:t xml:space="preserve">, il est tout de même recommandé </w:t>
      </w:r>
      <w:r w:rsidR="002769A2" w:rsidRPr="00F24A77">
        <w:rPr>
          <w:rFonts w:eastAsia="Times New Roman" w:cs="Arial"/>
          <w:color w:val="FF0000"/>
          <w:szCs w:val="21"/>
          <w:lang w:eastAsia="fr-FR"/>
        </w:rPr>
        <w:t>de la prévoir au taux minimal, voire au-delà</w:t>
      </w:r>
      <w:r w:rsidR="00E64AF4" w:rsidRPr="00F24A77">
        <w:rPr>
          <w:rFonts w:eastAsia="Times New Roman" w:cs="Arial"/>
          <w:color w:val="FF0000"/>
          <w:szCs w:val="21"/>
          <w:lang w:eastAsia="fr-FR"/>
        </w:rPr>
        <w:t xml:space="preserve">, si le </w:t>
      </w:r>
      <w:r w:rsidR="00217D2B" w:rsidRPr="00F24A77">
        <w:rPr>
          <w:rFonts w:eastAsia="Times New Roman" w:cs="Arial"/>
          <w:color w:val="FF0000"/>
          <w:szCs w:val="21"/>
          <w:lang w:eastAsia="fr-FR"/>
        </w:rPr>
        <w:t>commencement</w:t>
      </w:r>
      <w:r w:rsidR="00E64AF4" w:rsidRPr="00F24A77">
        <w:rPr>
          <w:rFonts w:eastAsia="Times New Roman" w:cs="Arial"/>
          <w:color w:val="FF0000"/>
          <w:szCs w:val="21"/>
          <w:lang w:eastAsia="fr-FR"/>
        </w:rPr>
        <w:t xml:space="preserve"> d’exécution nécessite des investissements préalables de la part du titulaire</w:t>
      </w:r>
      <w:r w:rsidR="004A20B1" w:rsidRPr="00F24A77">
        <w:rPr>
          <w:rFonts w:eastAsia="Times New Roman" w:cs="Arial"/>
          <w:color w:val="FF0000"/>
          <w:szCs w:val="21"/>
          <w:lang w:eastAsia="fr-FR"/>
        </w:rPr>
        <w:t xml:space="preserve"> par exemple</w:t>
      </w:r>
      <w:r w:rsidR="002769A2" w:rsidRPr="00F24A77">
        <w:rPr>
          <w:rFonts w:eastAsia="Times New Roman" w:cs="Arial"/>
          <w:color w:val="FF0000"/>
          <w:szCs w:val="21"/>
          <w:lang w:eastAsia="fr-FR"/>
        </w:rPr>
        <w:t xml:space="preserve">. </w:t>
      </w:r>
    </w:p>
    <w:p w14:paraId="164170E2" w14:textId="3B28EA97" w:rsidR="002769A2" w:rsidRDefault="002769A2" w:rsidP="00B65C29">
      <w:pPr>
        <w:pStyle w:val="Encart"/>
        <w:spacing w:after="60" w:line="276" w:lineRule="auto"/>
        <w:rPr>
          <w:lang w:eastAsia="fr-FR"/>
        </w:rPr>
      </w:pPr>
      <w:r w:rsidRPr="008C783B">
        <w:rPr>
          <w:lang w:eastAsia="fr-FR"/>
        </w:rPr>
        <w:t xml:space="preserve">L’avance facilite l’exécution des marchés publics et </w:t>
      </w:r>
      <w:r w:rsidR="00D17B18">
        <w:rPr>
          <w:lang w:eastAsia="fr-FR"/>
        </w:rPr>
        <w:t>participe de l’</w:t>
      </w:r>
      <w:r w:rsidRPr="00B65C29">
        <w:rPr>
          <w:b/>
          <w:lang w:eastAsia="fr-FR"/>
        </w:rPr>
        <w:t>égal accès à toutes les entreprises</w:t>
      </w:r>
      <w:r w:rsidRPr="008C783B">
        <w:rPr>
          <w:lang w:eastAsia="fr-FR"/>
        </w:rPr>
        <w:t xml:space="preserve">, en s’assurant qu’elles disposent d’une trésorerie suffisante pour débuter l’exécution des prestations. Cette mesure, annoncée dès la phase de publicité, doit aussi créer une </w:t>
      </w:r>
      <w:r w:rsidRPr="00B65C29">
        <w:rPr>
          <w:b/>
          <w:lang w:eastAsia="fr-FR"/>
        </w:rPr>
        <w:t>économie pour l’acheteur</w:t>
      </w:r>
      <w:r w:rsidRPr="008C783B">
        <w:rPr>
          <w:lang w:eastAsia="fr-FR"/>
        </w:rPr>
        <w:t xml:space="preserve"> ; les titulaires ne seront en effet pas contraints de chercher un préfinancement et ne répercuteront pas cette charge dans le prix. </w:t>
      </w:r>
    </w:p>
    <w:p w14:paraId="3254201A" w14:textId="5AFB1E54" w:rsidR="006C2C88" w:rsidRDefault="00B65C29" w:rsidP="00B65C29">
      <w:pPr>
        <w:pStyle w:val="Encart"/>
        <w:spacing w:before="60" w:line="276" w:lineRule="auto"/>
        <w:rPr>
          <w:lang w:eastAsia="fr-FR"/>
        </w:rPr>
      </w:pPr>
      <w:r>
        <w:rPr>
          <w:rFonts w:cs="Arial"/>
          <w:szCs w:val="21"/>
          <w:lang w:eastAsia="fr-FR"/>
        </w:rPr>
        <w:t xml:space="preserve">Il est donc recommandé de prévoir une </w:t>
      </w:r>
      <w:r w:rsidRPr="00B65C29">
        <w:rPr>
          <w:rFonts w:cs="Arial"/>
          <w:b/>
          <w:szCs w:val="21"/>
          <w:lang w:eastAsia="fr-FR"/>
        </w:rPr>
        <w:t>avance proportionnée aux enjeux</w:t>
      </w:r>
      <w:r>
        <w:rPr>
          <w:rFonts w:cs="Arial"/>
          <w:szCs w:val="21"/>
          <w:lang w:eastAsia="fr-FR"/>
        </w:rPr>
        <w:t xml:space="preserve"> du marché, ce qui ne correspond pas nécessairement au minimum légal.</w:t>
      </w:r>
    </w:p>
    <w:p w14:paraId="54866271" w14:textId="30AF2711" w:rsidR="00574460" w:rsidRDefault="00574460" w:rsidP="00574460">
      <w:pPr>
        <w:pStyle w:val="Exemple"/>
        <w:framePr w:wrap="around"/>
        <w:rPr>
          <w:lang w:eastAsia="fr-FR"/>
        </w:rPr>
      </w:pPr>
      <w:r w:rsidRPr="00E116E5">
        <w:rPr>
          <w:highlight w:val="yellow"/>
          <w:lang w:eastAsia="fr-FR"/>
        </w:rPr>
        <w:t>Exemple de bonne pratique en matière d’avance.</w:t>
      </w:r>
      <w:r w:rsidR="00422E5A">
        <w:rPr>
          <w:lang w:eastAsia="fr-FR"/>
        </w:rPr>
        <w:tab/>
      </w:r>
      <w:r w:rsidR="00422E5A">
        <w:rPr>
          <w:lang w:eastAsia="fr-FR"/>
        </w:rPr>
        <w:tab/>
      </w:r>
      <w:r w:rsidR="00422E5A">
        <w:rPr>
          <w:lang w:eastAsia="fr-FR"/>
        </w:rPr>
        <w:tab/>
      </w:r>
      <w:r w:rsidR="00422E5A">
        <w:rPr>
          <w:lang w:eastAsia="fr-FR"/>
        </w:rPr>
        <w:tab/>
      </w:r>
      <w:r w:rsidR="00422E5A">
        <w:rPr>
          <w:lang w:eastAsia="fr-FR"/>
        </w:rPr>
        <w:tab/>
      </w:r>
      <w:r w:rsidR="00422E5A">
        <w:rPr>
          <w:lang w:eastAsia="fr-FR"/>
        </w:rPr>
        <w:tab/>
      </w:r>
      <w:r w:rsidR="00422E5A">
        <w:rPr>
          <w:lang w:eastAsia="fr-FR"/>
        </w:rPr>
        <w:tab/>
      </w:r>
    </w:p>
    <w:p w14:paraId="427B7985" w14:textId="77777777" w:rsidR="00574460" w:rsidRDefault="00574460" w:rsidP="00574460">
      <w:pPr>
        <w:pStyle w:val="Exemple"/>
        <w:framePr w:wrap="around"/>
        <w:rPr>
          <w:lang w:eastAsia="fr-FR"/>
        </w:rPr>
      </w:pPr>
    </w:p>
    <w:p w14:paraId="4A2B8C01" w14:textId="4A7A8FD1" w:rsidR="00B65C29" w:rsidRPr="006C2C88" w:rsidRDefault="00574460" w:rsidP="001806DE">
      <w:pPr>
        <w:pStyle w:val="Titre3"/>
        <w:spacing w:before="240" w:after="120"/>
        <w:rPr>
          <w:lang w:eastAsia="fr-FR"/>
        </w:rPr>
      </w:pPr>
      <w:bookmarkStart w:id="36" w:name="_Toc7425940"/>
      <w:r>
        <w:rPr>
          <w:lang w:eastAsia="fr-FR"/>
        </w:rPr>
        <w:lastRenderedPageBreak/>
        <w:t>Corrélation entre avance et garanties</w:t>
      </w:r>
      <w:bookmarkEnd w:id="36"/>
    </w:p>
    <w:p w14:paraId="635478F6" w14:textId="07CCD5A7" w:rsidR="0059524E" w:rsidRDefault="00EB133C" w:rsidP="0059524E">
      <w:pPr>
        <w:tabs>
          <w:tab w:val="left" w:pos="1256"/>
        </w:tabs>
        <w:spacing w:after="120"/>
        <w:jc w:val="both"/>
      </w:pPr>
      <w:r>
        <w:rPr>
          <w:rFonts w:eastAsia="Times New Roman" w:cs="Arial"/>
          <w:szCs w:val="21"/>
          <w:lang w:eastAsia="fr-FR"/>
        </w:rPr>
        <w:t xml:space="preserve">Il existe différentes hypothèses dans lesquelles le versement de l’avance peut être conditionné par une </w:t>
      </w:r>
      <w:r w:rsidRPr="00EB133C">
        <w:rPr>
          <w:rFonts w:eastAsia="Times New Roman" w:cs="Arial"/>
          <w:b/>
          <w:szCs w:val="21"/>
          <w:lang w:eastAsia="fr-FR"/>
        </w:rPr>
        <w:t>garantie à première demande</w:t>
      </w:r>
      <w:r w:rsidR="008C783B" w:rsidRPr="008C783B">
        <w:rPr>
          <w:rStyle w:val="Appelnotedebasdep"/>
          <w:rFonts w:eastAsia="Times New Roman" w:cs="Arial"/>
          <w:szCs w:val="21"/>
          <w:lang w:eastAsia="fr-FR"/>
        </w:rPr>
        <w:footnoteReference w:id="38"/>
      </w:r>
      <w:r w:rsidR="008C783B" w:rsidRPr="008C783B">
        <w:rPr>
          <w:rFonts w:eastAsia="Times New Roman" w:cs="Arial"/>
          <w:szCs w:val="21"/>
          <w:lang w:eastAsia="fr-FR"/>
        </w:rPr>
        <w:t>. Dans ce cadre, le garant (ex : banque ou compagnie d'assurances) s'engage à verser au bénéficiaire (pouvoir adjudicateur) qui en f</w:t>
      </w:r>
      <w:r w:rsidR="00FA2C14">
        <w:rPr>
          <w:rFonts w:eastAsia="Times New Roman" w:cs="Arial"/>
          <w:szCs w:val="21"/>
          <w:lang w:eastAsia="fr-FR"/>
        </w:rPr>
        <w:t>er</w:t>
      </w:r>
      <w:r w:rsidR="008C783B" w:rsidRPr="008C783B">
        <w:rPr>
          <w:rFonts w:eastAsia="Times New Roman" w:cs="Arial"/>
          <w:szCs w:val="21"/>
          <w:lang w:eastAsia="fr-FR"/>
        </w:rPr>
        <w:t>ait la demande un montant déterminé, sans qu’il soit possible de contester la requête sur la base de l’exécution du contrat public.</w:t>
      </w:r>
      <w:r w:rsidR="0059524E" w:rsidRPr="0059524E">
        <w:t xml:space="preserve"> </w:t>
      </w:r>
    </w:p>
    <w:p w14:paraId="582D252F" w14:textId="75113B13" w:rsidR="00EB133C" w:rsidRDefault="00AF29DB" w:rsidP="00972782">
      <w:pPr>
        <w:pStyle w:val="Paragraphedeliste"/>
        <w:numPr>
          <w:ilvl w:val="0"/>
          <w:numId w:val="33"/>
        </w:numPr>
        <w:tabs>
          <w:tab w:val="left" w:pos="1256"/>
        </w:tabs>
        <w:spacing w:after="60"/>
        <w:ind w:left="714" w:hanging="357"/>
        <w:contextualSpacing w:val="0"/>
        <w:jc w:val="both"/>
        <w:rPr>
          <w:rFonts w:eastAsia="Times New Roman" w:cs="Arial"/>
          <w:szCs w:val="21"/>
          <w:lang w:eastAsia="fr-FR"/>
        </w:rPr>
      </w:pPr>
      <w:r>
        <w:rPr>
          <w:rFonts w:eastAsia="Times New Roman" w:cs="Arial"/>
          <w:szCs w:val="21"/>
          <w:lang w:eastAsia="fr-FR"/>
        </w:rPr>
        <w:t>Cas 1 </w:t>
      </w:r>
      <w:r w:rsidR="000F05DE">
        <w:rPr>
          <w:rFonts w:eastAsia="Times New Roman" w:cs="Arial"/>
          <w:szCs w:val="21"/>
          <w:lang w:eastAsia="fr-FR"/>
        </w:rPr>
        <w:t xml:space="preserve">(uniquement pour les collectivités locales et leurs établissements) </w:t>
      </w:r>
      <w:r>
        <w:rPr>
          <w:rFonts w:eastAsia="Times New Roman" w:cs="Arial"/>
          <w:szCs w:val="21"/>
          <w:lang w:eastAsia="fr-FR"/>
        </w:rPr>
        <w:t xml:space="preserve">: </w:t>
      </w:r>
      <w:r w:rsidR="00790ACF">
        <w:rPr>
          <w:rFonts w:eastAsia="Times New Roman" w:cs="Arial"/>
          <w:szCs w:val="21"/>
          <w:lang w:eastAsia="fr-FR"/>
        </w:rPr>
        <w:t xml:space="preserve">lorsque l’avance est </w:t>
      </w:r>
      <w:r w:rsidR="00972782">
        <w:rPr>
          <w:rFonts w:eastAsia="Times New Roman" w:cs="Arial"/>
          <w:szCs w:val="21"/>
          <w:lang w:eastAsia="fr-FR"/>
        </w:rPr>
        <w:t>inférieure à</w:t>
      </w:r>
      <w:r w:rsidR="00790ACF">
        <w:rPr>
          <w:rFonts w:eastAsia="Times New Roman" w:cs="Arial"/>
          <w:szCs w:val="21"/>
          <w:lang w:eastAsia="fr-FR"/>
        </w:rPr>
        <w:t xml:space="preserve"> 30 %, l’acheteur peut prévoir la constitution d’une garantie à première demande pour tout ou partie des prestations ayant fait l’objet de l’avance (dans une limite de 5 % d</w:t>
      </w:r>
      <w:r w:rsidR="00972782">
        <w:rPr>
          <w:rFonts w:eastAsia="Times New Roman" w:cs="Arial"/>
          <w:szCs w:val="21"/>
          <w:lang w:eastAsia="fr-FR"/>
        </w:rPr>
        <w:t>u montant du marché</w:t>
      </w:r>
      <w:r w:rsidR="00790ACF">
        <w:rPr>
          <w:rFonts w:eastAsia="Times New Roman" w:cs="Arial"/>
          <w:szCs w:val="21"/>
          <w:lang w:eastAsia="fr-FR"/>
        </w:rPr>
        <w:t xml:space="preserve">) ; </w:t>
      </w:r>
    </w:p>
    <w:p w14:paraId="63FE920F" w14:textId="60FBCC7E" w:rsidR="00AF29DB" w:rsidRPr="00AF29DB" w:rsidRDefault="00AF29DB" w:rsidP="00AF29DB">
      <w:pPr>
        <w:pStyle w:val="Paragraphedeliste"/>
        <w:numPr>
          <w:ilvl w:val="0"/>
          <w:numId w:val="33"/>
        </w:numPr>
        <w:tabs>
          <w:tab w:val="left" w:pos="1256"/>
        </w:tabs>
        <w:spacing w:after="120"/>
        <w:jc w:val="both"/>
        <w:rPr>
          <w:rFonts w:eastAsia="Times New Roman" w:cs="Arial"/>
          <w:szCs w:val="21"/>
          <w:lang w:eastAsia="fr-FR"/>
        </w:rPr>
      </w:pPr>
      <w:r>
        <w:rPr>
          <w:rFonts w:eastAsia="Times New Roman" w:cs="Arial"/>
          <w:szCs w:val="21"/>
          <w:lang w:eastAsia="fr-FR"/>
        </w:rPr>
        <w:t>Cas 2</w:t>
      </w:r>
      <w:r w:rsidR="000F05DE">
        <w:rPr>
          <w:rFonts w:eastAsia="Times New Roman" w:cs="Arial"/>
          <w:szCs w:val="21"/>
          <w:lang w:eastAsia="fr-FR"/>
        </w:rPr>
        <w:t xml:space="preserve"> (pour les collectivités et l’Etat) </w:t>
      </w:r>
      <w:r>
        <w:rPr>
          <w:rFonts w:eastAsia="Times New Roman" w:cs="Arial"/>
          <w:szCs w:val="21"/>
          <w:lang w:eastAsia="fr-FR"/>
        </w:rPr>
        <w:t xml:space="preserve">: </w:t>
      </w:r>
      <w:r w:rsidR="00790ACF">
        <w:rPr>
          <w:rFonts w:eastAsia="Times New Roman" w:cs="Arial"/>
          <w:szCs w:val="21"/>
          <w:lang w:eastAsia="fr-FR"/>
        </w:rPr>
        <w:t>lorsque l’avance est comprise entre 30 et 60 % du montant, l</w:t>
      </w:r>
      <w:r w:rsidR="00790ACF" w:rsidRPr="00790ACF">
        <w:rPr>
          <w:rFonts w:eastAsia="Times New Roman" w:cs="Arial"/>
          <w:szCs w:val="21"/>
          <w:lang w:eastAsia="fr-FR"/>
        </w:rPr>
        <w:t xml:space="preserve">’entreprise qui en bénéficie constitue une garantie à première demande </w:t>
      </w:r>
      <w:r w:rsidR="00357D41">
        <w:rPr>
          <w:rFonts w:eastAsia="Times New Roman" w:cs="Arial"/>
          <w:szCs w:val="21"/>
          <w:lang w:eastAsia="fr-FR"/>
        </w:rPr>
        <w:t xml:space="preserve">à hauteur du </w:t>
      </w:r>
      <w:r w:rsidR="00790ACF" w:rsidRPr="00790ACF">
        <w:rPr>
          <w:rFonts w:eastAsia="Times New Roman" w:cs="Arial"/>
          <w:szCs w:val="21"/>
          <w:lang w:eastAsia="fr-FR"/>
        </w:rPr>
        <w:t>montant préfinancé</w:t>
      </w:r>
      <w:r w:rsidR="00790ACF">
        <w:rPr>
          <w:rFonts w:eastAsia="Times New Roman" w:cs="Arial"/>
          <w:szCs w:val="21"/>
          <w:lang w:eastAsia="fr-FR"/>
        </w:rPr>
        <w:t>.</w:t>
      </w:r>
      <w:r w:rsidR="00790ACF">
        <w:rPr>
          <w:sz w:val="18"/>
          <w:szCs w:val="18"/>
        </w:rPr>
        <w:t xml:space="preserve"> </w:t>
      </w:r>
      <w:r w:rsidR="00790ACF">
        <w:rPr>
          <w:rFonts w:eastAsia="Times New Roman" w:cs="Arial"/>
          <w:szCs w:val="21"/>
          <w:lang w:eastAsia="fr-FR"/>
        </w:rPr>
        <w:t xml:space="preserve"> </w:t>
      </w:r>
    </w:p>
    <w:p w14:paraId="7A9C2979" w14:textId="735D045C" w:rsidR="00790ACF" w:rsidRDefault="00F20DC3" w:rsidP="001806DE">
      <w:pPr>
        <w:tabs>
          <w:tab w:val="left" w:pos="1256"/>
        </w:tabs>
        <w:spacing w:after="60"/>
        <w:jc w:val="both"/>
        <w:rPr>
          <w:rFonts w:eastAsia="Times New Roman" w:cs="Arial"/>
          <w:szCs w:val="21"/>
          <w:lang w:eastAsia="fr-FR"/>
        </w:rPr>
      </w:pPr>
      <w:r w:rsidRPr="0083248A">
        <w:rPr>
          <w:iCs/>
          <w:noProof/>
          <w:lang w:eastAsia="fr-FR"/>
        </w:rPr>
        <w:drawing>
          <wp:anchor distT="0" distB="0" distL="114300" distR="114300" simplePos="0" relativeHeight="251808768" behindDoc="0" locked="0" layoutInCell="1" allowOverlap="1" wp14:anchorId="13CDB974" wp14:editId="43E24C2D">
            <wp:simplePos x="0" y="0"/>
            <wp:positionH relativeFrom="margin">
              <wp:align>left</wp:align>
            </wp:positionH>
            <wp:positionV relativeFrom="paragraph">
              <wp:posOffset>6568</wp:posOffset>
            </wp:positionV>
            <wp:extent cx="337185" cy="337185"/>
            <wp:effectExtent l="0" t="0" r="5715" b="5715"/>
            <wp:wrapSquare wrapText="bothSides"/>
            <wp:docPr id="1" name="Image 1" descr="K:\1ESD\1C\COMMUN1C\11. Innovation\GT guide achats innovants\Projet de guide\Icônes\war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1ESD\1C\COMMUN1C\11. Innovation\GT guide achats innovants\Projet de guide\Icônes\warning.png"/>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37185" cy="337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6617">
        <w:rPr>
          <w:rFonts w:eastAsia="Times New Roman" w:cs="Arial"/>
          <w:szCs w:val="21"/>
          <w:lang w:eastAsia="fr-FR"/>
        </w:rPr>
        <w:t>L’attention des acheteurs est appelé</w:t>
      </w:r>
      <w:r w:rsidR="00B65C29">
        <w:rPr>
          <w:rFonts w:eastAsia="Times New Roman" w:cs="Arial"/>
          <w:szCs w:val="21"/>
          <w:lang w:eastAsia="fr-FR"/>
        </w:rPr>
        <w:t>e</w:t>
      </w:r>
      <w:r w:rsidR="006A6617">
        <w:rPr>
          <w:rFonts w:eastAsia="Times New Roman" w:cs="Arial"/>
          <w:szCs w:val="21"/>
          <w:lang w:eastAsia="fr-FR"/>
        </w:rPr>
        <w:t xml:space="preserve"> sur ce point : </w:t>
      </w:r>
      <w:r w:rsidR="00790ACF">
        <w:rPr>
          <w:rFonts w:eastAsia="Times New Roman" w:cs="Arial"/>
          <w:szCs w:val="21"/>
          <w:lang w:eastAsia="fr-FR"/>
        </w:rPr>
        <w:t xml:space="preserve">dans les cas où la garantie à première demande n’est pas obligatoire, </w:t>
      </w:r>
      <w:r w:rsidR="006A6617">
        <w:rPr>
          <w:rFonts w:eastAsia="Times New Roman" w:cs="Arial"/>
          <w:szCs w:val="21"/>
          <w:lang w:eastAsia="fr-FR"/>
        </w:rPr>
        <w:t xml:space="preserve">il </w:t>
      </w:r>
      <w:r w:rsidR="00790ACF">
        <w:rPr>
          <w:rFonts w:eastAsia="Times New Roman" w:cs="Arial"/>
          <w:szCs w:val="21"/>
          <w:lang w:eastAsia="fr-FR"/>
        </w:rPr>
        <w:t xml:space="preserve">convient de s’interroger sur la nécessité de la solliciter (et </w:t>
      </w:r>
      <w:r w:rsidR="007001B9">
        <w:rPr>
          <w:rFonts w:eastAsia="Times New Roman" w:cs="Arial"/>
          <w:szCs w:val="21"/>
          <w:lang w:eastAsia="fr-FR"/>
        </w:rPr>
        <w:t>dans quelle proportion</w:t>
      </w:r>
      <w:r w:rsidR="00790ACF">
        <w:rPr>
          <w:rFonts w:eastAsia="Times New Roman" w:cs="Arial"/>
          <w:szCs w:val="21"/>
          <w:lang w:eastAsia="fr-FR"/>
        </w:rPr>
        <w:t xml:space="preserve">), notamment quand la réalisation de la prestation n’apparaît pas </w:t>
      </w:r>
      <w:r w:rsidR="000429DA">
        <w:rPr>
          <w:rFonts w:eastAsia="Times New Roman" w:cs="Arial"/>
          <w:szCs w:val="21"/>
          <w:lang w:eastAsia="fr-FR"/>
        </w:rPr>
        <w:t xml:space="preserve">particulièrement </w:t>
      </w:r>
      <w:r w:rsidR="00790ACF">
        <w:rPr>
          <w:rFonts w:eastAsia="Times New Roman" w:cs="Arial"/>
          <w:szCs w:val="21"/>
          <w:lang w:eastAsia="fr-FR"/>
        </w:rPr>
        <w:t xml:space="preserve">risquée.  </w:t>
      </w:r>
    </w:p>
    <w:p w14:paraId="7282E521" w14:textId="41E46F27" w:rsidR="00FA2C14" w:rsidRPr="0090263A" w:rsidRDefault="00463E1B" w:rsidP="008C783B">
      <w:pPr>
        <w:tabs>
          <w:tab w:val="left" w:pos="1256"/>
        </w:tabs>
        <w:spacing w:after="120"/>
        <w:jc w:val="both"/>
        <w:rPr>
          <w:rFonts w:eastAsia="Times New Roman" w:cs="Arial"/>
          <w:color w:val="FF0000"/>
          <w:szCs w:val="21"/>
          <w:lang w:eastAsia="fr-FR"/>
        </w:rPr>
      </w:pPr>
      <w:r w:rsidRPr="0090263A">
        <w:rPr>
          <w:rFonts w:eastAsia="Times New Roman" w:cs="Arial"/>
          <w:color w:val="FF0000"/>
          <w:szCs w:val="21"/>
          <w:lang w:eastAsia="fr-FR"/>
        </w:rPr>
        <w:t>La</w:t>
      </w:r>
      <w:r w:rsidR="006A6617" w:rsidRPr="0090263A">
        <w:rPr>
          <w:rFonts w:eastAsia="Times New Roman" w:cs="Arial"/>
          <w:color w:val="FF0000"/>
          <w:szCs w:val="21"/>
          <w:lang w:eastAsia="fr-FR"/>
        </w:rPr>
        <w:t xml:space="preserve"> garantie à première demande</w:t>
      </w:r>
      <w:r w:rsidRPr="0090263A">
        <w:rPr>
          <w:rFonts w:eastAsia="Times New Roman" w:cs="Arial"/>
          <w:color w:val="FF0000"/>
          <w:szCs w:val="21"/>
          <w:lang w:eastAsia="fr-FR"/>
        </w:rPr>
        <w:t xml:space="preserve"> peut </w:t>
      </w:r>
      <w:r w:rsidR="006A6617" w:rsidRPr="0090263A">
        <w:rPr>
          <w:rFonts w:eastAsia="Times New Roman" w:cs="Arial"/>
          <w:color w:val="FF0000"/>
          <w:szCs w:val="21"/>
          <w:lang w:eastAsia="fr-FR"/>
        </w:rPr>
        <w:t xml:space="preserve">avoir pour effet de faire renoncer certaines entreprises </w:t>
      </w:r>
      <w:r w:rsidR="002815F8" w:rsidRPr="0090263A">
        <w:rPr>
          <w:rFonts w:eastAsia="Times New Roman" w:cs="Arial"/>
          <w:color w:val="FF0000"/>
          <w:szCs w:val="21"/>
          <w:lang w:eastAsia="fr-FR"/>
        </w:rPr>
        <w:t>au bénéfice de l’avance, voire même à leur candidature</w:t>
      </w:r>
      <w:r w:rsidR="006A6617" w:rsidRPr="0090263A">
        <w:rPr>
          <w:rFonts w:eastAsia="Times New Roman" w:cs="Arial"/>
          <w:color w:val="FF0000"/>
          <w:szCs w:val="21"/>
          <w:lang w:eastAsia="fr-FR"/>
        </w:rPr>
        <w:t xml:space="preserve">, du fait </w:t>
      </w:r>
      <w:r w:rsidR="00B65C29" w:rsidRPr="0090263A">
        <w:rPr>
          <w:rFonts w:eastAsia="Times New Roman" w:cs="Arial"/>
          <w:color w:val="FF0000"/>
          <w:szCs w:val="21"/>
          <w:lang w:eastAsia="fr-FR"/>
        </w:rPr>
        <w:t>d</w:t>
      </w:r>
      <w:r w:rsidR="002815F8" w:rsidRPr="0090263A">
        <w:rPr>
          <w:rFonts w:eastAsia="Times New Roman" w:cs="Arial"/>
          <w:color w:val="FF0000"/>
          <w:szCs w:val="21"/>
          <w:lang w:eastAsia="fr-FR"/>
        </w:rPr>
        <w:t xml:space="preserve">u </w:t>
      </w:r>
      <w:r w:rsidR="00A741BA" w:rsidRPr="0090263A">
        <w:rPr>
          <w:rFonts w:eastAsia="Times New Roman" w:cs="Arial"/>
          <w:color w:val="FF0000"/>
          <w:szCs w:val="21"/>
          <w:lang w:eastAsia="fr-FR"/>
        </w:rPr>
        <w:t xml:space="preserve">coût unitaire </w:t>
      </w:r>
      <w:r w:rsidR="002815F8" w:rsidRPr="0090263A">
        <w:rPr>
          <w:rFonts w:eastAsia="Times New Roman" w:cs="Arial"/>
          <w:color w:val="FF0000"/>
          <w:szCs w:val="21"/>
          <w:lang w:eastAsia="fr-FR"/>
        </w:rPr>
        <w:t xml:space="preserve">de la garantie (qui peut certes être répercuté dans l’offre) </w:t>
      </w:r>
      <w:r w:rsidR="00B65C29" w:rsidRPr="0090263A">
        <w:rPr>
          <w:rFonts w:eastAsia="Times New Roman" w:cs="Arial"/>
          <w:color w:val="FF0000"/>
          <w:szCs w:val="21"/>
          <w:lang w:eastAsia="fr-FR"/>
        </w:rPr>
        <w:t xml:space="preserve">mais aussi </w:t>
      </w:r>
      <w:r w:rsidR="006A6617" w:rsidRPr="0090263A">
        <w:rPr>
          <w:rFonts w:eastAsia="Times New Roman" w:cs="Arial"/>
          <w:color w:val="FF0000"/>
          <w:szCs w:val="21"/>
          <w:lang w:eastAsia="fr-FR"/>
        </w:rPr>
        <w:t xml:space="preserve">du </w:t>
      </w:r>
      <w:r w:rsidR="007001B9" w:rsidRPr="0090263A">
        <w:rPr>
          <w:rFonts w:eastAsia="Times New Roman" w:cs="Arial"/>
          <w:color w:val="FF0000"/>
          <w:szCs w:val="21"/>
          <w:lang w:eastAsia="fr-FR"/>
        </w:rPr>
        <w:t xml:space="preserve">fait du </w:t>
      </w:r>
      <w:r w:rsidR="006A6617" w:rsidRPr="0090263A">
        <w:rPr>
          <w:rFonts w:eastAsia="Times New Roman" w:cs="Arial"/>
          <w:color w:val="FF0000"/>
          <w:szCs w:val="21"/>
          <w:lang w:eastAsia="fr-FR"/>
        </w:rPr>
        <w:t xml:space="preserve">plafonnement </w:t>
      </w:r>
      <w:r w:rsidRPr="0090263A">
        <w:rPr>
          <w:rFonts w:eastAsia="Times New Roman" w:cs="Arial"/>
          <w:color w:val="FF0000"/>
          <w:szCs w:val="21"/>
          <w:lang w:eastAsia="fr-FR"/>
        </w:rPr>
        <w:t xml:space="preserve">des cautions bancaires, qui ne permet pas aux candidats de solliciter de multiples garanties afin de concourir à plusieurs appels d’offres simultanés. </w:t>
      </w:r>
    </w:p>
    <w:p w14:paraId="6D1AA9BE" w14:textId="405B600B" w:rsidR="00972782" w:rsidRDefault="008C783B" w:rsidP="007823A1">
      <w:pPr>
        <w:tabs>
          <w:tab w:val="left" w:pos="1256"/>
        </w:tabs>
        <w:spacing w:after="60"/>
        <w:jc w:val="both"/>
        <w:rPr>
          <w:rFonts w:eastAsia="Times New Roman" w:cs="Arial"/>
          <w:szCs w:val="21"/>
          <w:lang w:eastAsia="fr-FR"/>
        </w:rPr>
      </w:pPr>
      <w:r w:rsidRPr="008C783B">
        <w:rPr>
          <w:rFonts w:eastAsia="Times New Roman" w:cs="Arial"/>
          <w:szCs w:val="21"/>
          <w:lang w:eastAsia="fr-FR"/>
        </w:rPr>
        <w:t xml:space="preserve">Le marché peut en outre prévoir, à la charge du titulaire, une </w:t>
      </w:r>
      <w:r w:rsidRPr="00424976">
        <w:rPr>
          <w:rFonts w:eastAsia="Times New Roman" w:cs="Arial"/>
          <w:b/>
          <w:szCs w:val="21"/>
          <w:lang w:eastAsia="fr-FR"/>
        </w:rPr>
        <w:t>retenue de garantie</w:t>
      </w:r>
      <w:r w:rsidR="00A92107" w:rsidRPr="00A92107">
        <w:rPr>
          <w:rFonts w:eastAsia="Times New Roman" w:cs="Arial"/>
          <w:szCs w:val="21"/>
          <w:lang w:eastAsia="fr-FR"/>
        </w:rPr>
        <w:t>, afin</w:t>
      </w:r>
      <w:r w:rsidR="00A92107">
        <w:rPr>
          <w:rFonts w:eastAsia="Times New Roman" w:cs="Arial"/>
          <w:b/>
          <w:szCs w:val="21"/>
          <w:lang w:eastAsia="fr-FR"/>
        </w:rPr>
        <w:t xml:space="preserve"> </w:t>
      </w:r>
      <w:r w:rsidR="00A92107" w:rsidRPr="008C783B">
        <w:rPr>
          <w:rFonts w:eastAsia="Times New Roman" w:cs="Arial"/>
          <w:szCs w:val="21"/>
          <w:lang w:eastAsia="fr-FR"/>
        </w:rPr>
        <w:t xml:space="preserve">de </w:t>
      </w:r>
      <w:r w:rsidR="00FE0438" w:rsidRPr="00FE0438">
        <w:rPr>
          <w:rFonts w:eastAsia="Times New Roman" w:cs="Arial"/>
          <w:szCs w:val="21"/>
          <w:lang w:eastAsia="fr-FR"/>
        </w:rPr>
        <w:t>couvrir les réserves formulées à la réception des prestations et, le cas échéant, celles formulées pendant le délai de garantie</w:t>
      </w:r>
      <w:r w:rsidR="00FE0438" w:rsidRPr="00A92107">
        <w:rPr>
          <w:rStyle w:val="Appelnotedebasdep"/>
          <w:rFonts w:eastAsia="Times New Roman" w:cs="Arial"/>
          <w:szCs w:val="21"/>
          <w:lang w:eastAsia="fr-FR"/>
        </w:rPr>
        <w:footnoteReference w:id="39"/>
      </w:r>
      <w:r w:rsidR="00FE0438" w:rsidRPr="00FE0438">
        <w:rPr>
          <w:rFonts w:eastAsia="Times New Roman" w:cs="Arial"/>
          <w:szCs w:val="21"/>
          <w:lang w:eastAsia="fr-FR"/>
        </w:rPr>
        <w:t>.</w:t>
      </w:r>
      <w:r w:rsidR="00A92107" w:rsidRPr="008C783B">
        <w:rPr>
          <w:rFonts w:eastAsia="Times New Roman" w:cs="Arial"/>
          <w:szCs w:val="21"/>
          <w:lang w:eastAsia="fr-FR"/>
        </w:rPr>
        <w:t xml:space="preserve"> </w:t>
      </w:r>
    </w:p>
    <w:p w14:paraId="2FD8ED8A" w14:textId="6B255F9E" w:rsidR="008C783B" w:rsidRPr="008C783B" w:rsidRDefault="008C783B" w:rsidP="008C783B">
      <w:pPr>
        <w:tabs>
          <w:tab w:val="left" w:pos="1256"/>
        </w:tabs>
        <w:spacing w:after="120"/>
        <w:jc w:val="both"/>
        <w:rPr>
          <w:rFonts w:eastAsia="Times New Roman" w:cs="Arial"/>
          <w:szCs w:val="21"/>
          <w:lang w:eastAsia="fr-FR"/>
        </w:rPr>
      </w:pPr>
      <w:r w:rsidRPr="00A92107">
        <w:rPr>
          <w:rFonts w:eastAsia="Times New Roman" w:cs="Arial"/>
          <w:szCs w:val="21"/>
          <w:lang w:eastAsia="fr-FR"/>
        </w:rPr>
        <w:t xml:space="preserve">Le montant de la retenue de garantie ne peut être supérieur </w:t>
      </w:r>
      <w:r w:rsidR="000867A4">
        <w:rPr>
          <w:rFonts w:eastAsia="Times New Roman" w:cs="Arial"/>
          <w:szCs w:val="21"/>
          <w:lang w:eastAsia="fr-FR"/>
        </w:rPr>
        <w:t xml:space="preserve">à </w:t>
      </w:r>
      <w:r w:rsidR="006A6617" w:rsidRPr="00A92107">
        <w:rPr>
          <w:rFonts w:eastAsia="Times New Roman" w:cs="Arial"/>
          <w:szCs w:val="21"/>
          <w:lang w:eastAsia="fr-FR"/>
        </w:rPr>
        <w:t>5</w:t>
      </w:r>
      <w:r w:rsidR="009458F3">
        <w:rPr>
          <w:rFonts w:eastAsia="Times New Roman" w:cs="Arial"/>
          <w:szCs w:val="21"/>
          <w:lang w:eastAsia="fr-FR"/>
        </w:rPr>
        <w:t xml:space="preserve"> </w:t>
      </w:r>
      <w:r w:rsidR="006A6617" w:rsidRPr="00A92107">
        <w:rPr>
          <w:rFonts w:eastAsia="Times New Roman" w:cs="Arial"/>
          <w:szCs w:val="21"/>
          <w:lang w:eastAsia="fr-FR"/>
        </w:rPr>
        <w:t>% pour les marchés des collectivités territoriales</w:t>
      </w:r>
      <w:r w:rsidRPr="00A92107">
        <w:rPr>
          <w:rFonts w:eastAsia="Times New Roman" w:cs="Arial"/>
          <w:szCs w:val="21"/>
          <w:lang w:eastAsia="fr-FR"/>
        </w:rPr>
        <w:t>.</w:t>
      </w:r>
      <w:r w:rsidRPr="008C783B">
        <w:rPr>
          <w:rFonts w:eastAsia="Times New Roman" w:cs="Arial"/>
          <w:szCs w:val="21"/>
          <w:lang w:eastAsia="fr-FR"/>
        </w:rPr>
        <w:t xml:space="preserve"> </w:t>
      </w:r>
      <w:r w:rsidR="009458F3">
        <w:rPr>
          <w:rFonts w:eastAsia="Times New Roman" w:cs="Arial"/>
          <w:szCs w:val="21"/>
          <w:lang w:eastAsia="fr-FR"/>
        </w:rPr>
        <w:t xml:space="preserve">Ce montant est porté </w:t>
      </w:r>
      <w:r w:rsidR="000867A4" w:rsidRPr="000867A4">
        <w:rPr>
          <w:rFonts w:eastAsia="Times New Roman" w:cs="Arial"/>
          <w:szCs w:val="21"/>
          <w:lang w:eastAsia="fr-FR"/>
        </w:rPr>
        <w:t xml:space="preserve">à 3 % </w:t>
      </w:r>
      <w:r w:rsidR="000867A4">
        <w:rPr>
          <w:rFonts w:eastAsia="Times New Roman" w:cs="Arial"/>
          <w:szCs w:val="21"/>
          <w:lang w:eastAsia="fr-FR"/>
        </w:rPr>
        <w:t xml:space="preserve">pour les marchés de l’Etat passés avec des </w:t>
      </w:r>
      <w:r w:rsidR="009458F3">
        <w:rPr>
          <w:rFonts w:eastAsia="Times New Roman" w:cs="Arial"/>
          <w:szCs w:val="21"/>
          <w:lang w:eastAsia="fr-FR"/>
        </w:rPr>
        <w:t>TPE/PME</w:t>
      </w:r>
      <w:r w:rsidR="007E0372">
        <w:rPr>
          <w:rStyle w:val="Appelnotedebasdep"/>
          <w:rFonts w:eastAsia="Times New Roman" w:cs="Arial"/>
          <w:szCs w:val="21"/>
          <w:lang w:eastAsia="fr-FR"/>
        </w:rPr>
        <w:footnoteReference w:id="40"/>
      </w:r>
      <w:r w:rsidR="009458F3">
        <w:rPr>
          <w:rFonts w:eastAsia="Times New Roman" w:cs="Arial"/>
          <w:szCs w:val="21"/>
          <w:lang w:eastAsia="fr-FR"/>
        </w:rPr>
        <w:t xml:space="preserve">. </w:t>
      </w:r>
      <w:r w:rsidR="009458F3" w:rsidRPr="009458F3">
        <w:rPr>
          <w:rFonts w:eastAsia="Times New Roman" w:cs="Arial"/>
          <w:szCs w:val="21"/>
          <w:lang w:eastAsia="fr-FR"/>
        </w:rPr>
        <w:t>Il est prélevé par fractions sur chacun des versements (hors avance).</w:t>
      </w:r>
    </w:p>
    <w:p w14:paraId="301D93C9" w14:textId="6E435AA3" w:rsidR="008C783B" w:rsidRPr="008C783B" w:rsidRDefault="008C783B" w:rsidP="008C783B">
      <w:pPr>
        <w:tabs>
          <w:tab w:val="left" w:pos="1256"/>
        </w:tabs>
        <w:spacing w:after="120"/>
        <w:jc w:val="both"/>
        <w:rPr>
          <w:rFonts w:eastAsia="Times New Roman" w:cs="Arial"/>
          <w:szCs w:val="21"/>
          <w:lang w:eastAsia="fr-FR"/>
        </w:rPr>
      </w:pPr>
      <w:r w:rsidRPr="008C783B">
        <w:rPr>
          <w:rFonts w:eastAsia="Times New Roman" w:cs="Arial"/>
          <w:szCs w:val="21"/>
          <w:lang w:eastAsia="fr-FR"/>
        </w:rPr>
        <w:t xml:space="preserve">La retenue de garantie peut être remplacée au gré du titulaire par </w:t>
      </w:r>
      <w:r w:rsidRPr="00B80F43">
        <w:rPr>
          <w:rFonts w:eastAsia="Times New Roman" w:cs="Arial"/>
          <w:szCs w:val="21"/>
          <w:lang w:eastAsia="fr-FR"/>
        </w:rPr>
        <w:t>une garantie à première demande ou, si l’acheteur ne s’y oppose pas, par une caution personnelle et solidaire</w:t>
      </w:r>
      <w:r w:rsidRPr="008C783B">
        <w:rPr>
          <w:rFonts w:eastAsia="Times New Roman" w:cs="Arial"/>
          <w:szCs w:val="21"/>
          <w:lang w:eastAsia="fr-FR"/>
        </w:rPr>
        <w:t xml:space="preserve">. Dans ce second cas, la caution s’engage envers le créancier à remplir l’obligation du débiteur principal, </w:t>
      </w:r>
      <w:r w:rsidR="002F0423">
        <w:rPr>
          <w:rFonts w:eastAsia="Times New Roman" w:cs="Arial"/>
          <w:szCs w:val="21"/>
          <w:lang w:eastAsia="fr-FR"/>
        </w:rPr>
        <w:t>qui</w:t>
      </w:r>
      <w:r w:rsidRPr="008C783B">
        <w:rPr>
          <w:rFonts w:eastAsia="Times New Roman" w:cs="Arial"/>
          <w:szCs w:val="21"/>
          <w:lang w:eastAsia="fr-FR"/>
        </w:rPr>
        <w:t xml:space="preserve"> n’y aurait pas lui-même satisfait. </w:t>
      </w:r>
    </w:p>
    <w:p w14:paraId="433916D5" w14:textId="48D5E1E0" w:rsidR="00786781" w:rsidRDefault="00B65C29" w:rsidP="007823A1">
      <w:pPr>
        <w:spacing w:after="60"/>
      </w:pPr>
      <w:r>
        <w:t xml:space="preserve">Tableau de synthèse : </w:t>
      </w:r>
    </w:p>
    <w:tbl>
      <w:tblPr>
        <w:tblStyle w:val="TableauGrille5Fonc-Accentuation3"/>
        <w:tblW w:w="0" w:type="auto"/>
        <w:tblLook w:val="04A0" w:firstRow="1" w:lastRow="0" w:firstColumn="1" w:lastColumn="0" w:noHBand="0" w:noVBand="1"/>
      </w:tblPr>
      <w:tblGrid>
        <w:gridCol w:w="1838"/>
        <w:gridCol w:w="2577"/>
        <w:gridCol w:w="2472"/>
        <w:gridCol w:w="2175"/>
      </w:tblGrid>
      <w:tr w:rsidR="00B65C29" w14:paraId="1EA3DA70" w14:textId="15D65B4F" w:rsidTr="00C462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FD02C83" w14:textId="77777777" w:rsidR="00B65C29" w:rsidRDefault="00B65C29"/>
        </w:tc>
        <w:tc>
          <w:tcPr>
            <w:tcW w:w="2577" w:type="dxa"/>
          </w:tcPr>
          <w:p w14:paraId="6AC8B040" w14:textId="3A32F43A" w:rsidR="00B65C29" w:rsidRPr="007823A1" w:rsidRDefault="00B65C29" w:rsidP="00571100">
            <w:pPr>
              <w:ind w:left="57" w:right="57"/>
              <w:jc w:val="center"/>
              <w:cnfStyle w:val="100000000000" w:firstRow="1" w:lastRow="0" w:firstColumn="0" w:lastColumn="0" w:oddVBand="0" w:evenVBand="0" w:oddHBand="0" w:evenHBand="0" w:firstRowFirstColumn="0" w:firstRowLastColumn="0" w:lastRowFirstColumn="0" w:lastRowLastColumn="0"/>
              <w:rPr>
                <w:sz w:val="18"/>
              </w:rPr>
            </w:pPr>
            <w:r w:rsidRPr="007823A1">
              <w:rPr>
                <w:sz w:val="18"/>
              </w:rPr>
              <w:t>Régime applicable aux marchés de l’Etat et ses établissements publics</w:t>
            </w:r>
          </w:p>
        </w:tc>
        <w:tc>
          <w:tcPr>
            <w:tcW w:w="2472" w:type="dxa"/>
          </w:tcPr>
          <w:p w14:paraId="301E8A13" w14:textId="5A040807" w:rsidR="00B65C29" w:rsidRPr="007823A1" w:rsidRDefault="00B65C29" w:rsidP="00571100">
            <w:pPr>
              <w:ind w:left="57" w:right="57"/>
              <w:jc w:val="center"/>
              <w:cnfStyle w:val="100000000000" w:firstRow="1" w:lastRow="0" w:firstColumn="0" w:lastColumn="0" w:oddVBand="0" w:evenVBand="0" w:oddHBand="0" w:evenHBand="0" w:firstRowFirstColumn="0" w:firstRowLastColumn="0" w:lastRowFirstColumn="0" w:lastRowLastColumn="0"/>
              <w:rPr>
                <w:sz w:val="18"/>
              </w:rPr>
            </w:pPr>
            <w:r w:rsidRPr="007823A1">
              <w:rPr>
                <w:sz w:val="18"/>
              </w:rPr>
              <w:t>Régime applicable aux collectivités territoriales et leurs établissements publics</w:t>
            </w:r>
          </w:p>
        </w:tc>
        <w:tc>
          <w:tcPr>
            <w:tcW w:w="2175" w:type="dxa"/>
          </w:tcPr>
          <w:p w14:paraId="5B79907B" w14:textId="2B2FF178" w:rsidR="00B65C29" w:rsidRPr="006A3764" w:rsidRDefault="00B65C29" w:rsidP="00571100">
            <w:pPr>
              <w:ind w:left="57" w:right="57"/>
              <w:jc w:val="center"/>
              <w:cnfStyle w:val="100000000000" w:firstRow="1" w:lastRow="0" w:firstColumn="0" w:lastColumn="0" w:oddVBand="0" w:evenVBand="0" w:oddHBand="0" w:evenHBand="0" w:firstRowFirstColumn="0" w:firstRowLastColumn="0" w:lastRowFirstColumn="0" w:lastRowLastColumn="0"/>
              <w:rPr>
                <w:sz w:val="18"/>
              </w:rPr>
            </w:pPr>
            <w:r w:rsidRPr="006A3764">
              <w:rPr>
                <w:sz w:val="18"/>
              </w:rPr>
              <w:t xml:space="preserve">Régime applicable aux </w:t>
            </w:r>
            <w:r w:rsidR="00463E1B" w:rsidRPr="006A3764">
              <w:rPr>
                <w:sz w:val="18"/>
              </w:rPr>
              <w:t>autres ache</w:t>
            </w:r>
            <w:r w:rsidR="00571100">
              <w:rPr>
                <w:sz w:val="18"/>
              </w:rPr>
              <w:t>teurs</w:t>
            </w:r>
          </w:p>
        </w:tc>
      </w:tr>
      <w:tr w:rsidR="00B65C29" w14:paraId="28D6A2B9" w14:textId="61A8B405" w:rsidTr="00C46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4CD64A1" w14:textId="77777777" w:rsidR="00C46202" w:rsidRDefault="00B65C29" w:rsidP="000E6C32">
            <w:pPr>
              <w:jc w:val="center"/>
              <w:rPr>
                <w:sz w:val="18"/>
              </w:rPr>
            </w:pPr>
            <w:r w:rsidRPr="002F0423">
              <w:rPr>
                <w:sz w:val="18"/>
              </w:rPr>
              <w:t xml:space="preserve">Montant </w:t>
            </w:r>
          </w:p>
          <w:p w14:paraId="76F52A50" w14:textId="70A6FCB1" w:rsidR="00B65C29" w:rsidRPr="002F0423" w:rsidRDefault="00B65C29" w:rsidP="00C46202">
            <w:pPr>
              <w:spacing w:before="0"/>
              <w:jc w:val="center"/>
              <w:rPr>
                <w:sz w:val="18"/>
              </w:rPr>
            </w:pPr>
            <w:r w:rsidRPr="002F0423">
              <w:rPr>
                <w:sz w:val="18"/>
              </w:rPr>
              <w:t>de l’avance</w:t>
            </w:r>
            <w:r w:rsidR="005D41C8">
              <w:rPr>
                <w:sz w:val="18"/>
              </w:rPr>
              <w:t xml:space="preserve"> obligatoire (au-delà de 50 000 € HT et 2 mois d’exécution)</w:t>
            </w:r>
          </w:p>
        </w:tc>
        <w:tc>
          <w:tcPr>
            <w:tcW w:w="2577" w:type="dxa"/>
          </w:tcPr>
          <w:p w14:paraId="31144BC7" w14:textId="2FCE880B" w:rsidR="00972782" w:rsidRPr="00F97681" w:rsidRDefault="00972782" w:rsidP="00F97681">
            <w:pPr>
              <w:pStyle w:val="Paragraphedeliste"/>
              <w:numPr>
                <w:ilvl w:val="0"/>
                <w:numId w:val="33"/>
              </w:numPr>
              <w:ind w:left="211" w:hanging="211"/>
              <w:jc w:val="both"/>
              <w:cnfStyle w:val="000000100000" w:firstRow="0" w:lastRow="0" w:firstColumn="0" w:lastColumn="0" w:oddVBand="0" w:evenVBand="0" w:oddHBand="1" w:evenHBand="0" w:firstRowFirstColumn="0" w:firstRowLastColumn="0" w:lastRowFirstColumn="0" w:lastRowLastColumn="0"/>
              <w:rPr>
                <w:sz w:val="16"/>
              </w:rPr>
            </w:pPr>
            <w:r w:rsidRPr="00F97681">
              <w:rPr>
                <w:sz w:val="16"/>
              </w:rPr>
              <w:t xml:space="preserve">20 % </w:t>
            </w:r>
            <w:r w:rsidR="00F97681" w:rsidRPr="00F97681">
              <w:rPr>
                <w:sz w:val="16"/>
              </w:rPr>
              <w:t xml:space="preserve">minimum </w:t>
            </w:r>
            <w:r w:rsidRPr="00F97681">
              <w:rPr>
                <w:sz w:val="16"/>
              </w:rPr>
              <w:t>pour les TPE/PME.</w:t>
            </w:r>
          </w:p>
          <w:p w14:paraId="109CA4AE" w14:textId="401D0117" w:rsidR="00B65C29" w:rsidRPr="00F97681" w:rsidRDefault="00463E1B" w:rsidP="00F97681">
            <w:pPr>
              <w:pStyle w:val="Paragraphedeliste"/>
              <w:numPr>
                <w:ilvl w:val="0"/>
                <w:numId w:val="33"/>
              </w:numPr>
              <w:ind w:left="211" w:hanging="211"/>
              <w:jc w:val="both"/>
              <w:cnfStyle w:val="000000100000" w:firstRow="0" w:lastRow="0" w:firstColumn="0" w:lastColumn="0" w:oddVBand="0" w:evenVBand="0" w:oddHBand="1" w:evenHBand="0" w:firstRowFirstColumn="0" w:firstRowLastColumn="0" w:lastRowFirstColumn="0" w:lastRowLastColumn="0"/>
              <w:rPr>
                <w:sz w:val="16"/>
              </w:rPr>
            </w:pPr>
            <w:r w:rsidRPr="00F97681">
              <w:rPr>
                <w:sz w:val="16"/>
              </w:rPr>
              <w:t>d</w:t>
            </w:r>
            <w:r w:rsidR="005E6957" w:rsidRPr="00F97681">
              <w:rPr>
                <w:sz w:val="16"/>
              </w:rPr>
              <w:t>e 5 à 30 % pour les ETI ou</w:t>
            </w:r>
            <w:r w:rsidRPr="00F97681">
              <w:rPr>
                <w:sz w:val="16"/>
              </w:rPr>
              <w:t xml:space="preserve"> les grandes entreprises </w:t>
            </w:r>
            <w:r w:rsidR="005E6957" w:rsidRPr="00F97681">
              <w:rPr>
                <w:sz w:val="16"/>
              </w:rPr>
              <w:t>;</w:t>
            </w:r>
          </w:p>
          <w:p w14:paraId="0EFFC4DF" w14:textId="2FF191E3" w:rsidR="005E6957" w:rsidRPr="00F97681" w:rsidRDefault="00391707" w:rsidP="00F97681">
            <w:pPr>
              <w:pStyle w:val="Paragraphedeliste"/>
              <w:numPr>
                <w:ilvl w:val="0"/>
                <w:numId w:val="33"/>
              </w:numPr>
              <w:ind w:left="211" w:hanging="211"/>
              <w:jc w:val="both"/>
              <w:cnfStyle w:val="000000100000" w:firstRow="0" w:lastRow="0" w:firstColumn="0" w:lastColumn="0" w:oddVBand="0" w:evenVBand="0" w:oddHBand="1" w:evenHBand="0" w:firstRowFirstColumn="0" w:firstRowLastColumn="0" w:lastRowFirstColumn="0" w:lastRowLastColumn="0"/>
              <w:rPr>
                <w:sz w:val="16"/>
              </w:rPr>
            </w:pPr>
            <w:r w:rsidRPr="00F97681">
              <w:rPr>
                <w:sz w:val="16"/>
              </w:rPr>
              <w:t>j</w:t>
            </w:r>
            <w:r w:rsidR="00972782" w:rsidRPr="00F97681">
              <w:rPr>
                <w:sz w:val="16"/>
              </w:rPr>
              <w:t>usqu’à 60 % dans des cas exceptionnels.</w:t>
            </w:r>
          </w:p>
        </w:tc>
        <w:tc>
          <w:tcPr>
            <w:tcW w:w="2472" w:type="dxa"/>
          </w:tcPr>
          <w:p w14:paraId="74D984DC" w14:textId="24D28671" w:rsidR="00972782" w:rsidRPr="00F97681" w:rsidRDefault="00F97681" w:rsidP="00F97681">
            <w:pPr>
              <w:pStyle w:val="Paragraphedeliste"/>
              <w:numPr>
                <w:ilvl w:val="0"/>
                <w:numId w:val="33"/>
              </w:numPr>
              <w:ind w:left="147" w:hanging="147"/>
              <w:contextualSpacing w:val="0"/>
              <w:jc w:val="both"/>
              <w:cnfStyle w:val="000000100000" w:firstRow="0" w:lastRow="0" w:firstColumn="0" w:lastColumn="0" w:oddVBand="0" w:evenVBand="0" w:oddHBand="1" w:evenHBand="0" w:firstRowFirstColumn="0" w:firstRowLastColumn="0" w:lastRowFirstColumn="0" w:lastRowLastColumn="0"/>
              <w:rPr>
                <w:sz w:val="16"/>
              </w:rPr>
            </w:pPr>
            <w:r w:rsidRPr="00F97681">
              <w:rPr>
                <w:sz w:val="16"/>
              </w:rPr>
              <w:t>d</w:t>
            </w:r>
            <w:r w:rsidR="005E6957" w:rsidRPr="00F97681">
              <w:rPr>
                <w:sz w:val="16"/>
              </w:rPr>
              <w:t>e 5 à 3</w:t>
            </w:r>
            <w:r w:rsidR="00972782" w:rsidRPr="00F97681">
              <w:rPr>
                <w:sz w:val="16"/>
              </w:rPr>
              <w:t xml:space="preserve">0 % pour tout type d’entreprise ; </w:t>
            </w:r>
          </w:p>
          <w:p w14:paraId="05304BBF" w14:textId="1B284389" w:rsidR="00972782" w:rsidRPr="00F97681" w:rsidRDefault="00972782" w:rsidP="00F97681">
            <w:pPr>
              <w:pStyle w:val="Paragraphedeliste"/>
              <w:numPr>
                <w:ilvl w:val="0"/>
                <w:numId w:val="33"/>
              </w:numPr>
              <w:spacing w:before="60"/>
              <w:ind w:left="147" w:hanging="147"/>
              <w:contextualSpacing w:val="0"/>
              <w:jc w:val="both"/>
              <w:cnfStyle w:val="000000100000" w:firstRow="0" w:lastRow="0" w:firstColumn="0" w:lastColumn="0" w:oddVBand="0" w:evenVBand="0" w:oddHBand="1" w:evenHBand="0" w:firstRowFirstColumn="0" w:firstRowLastColumn="0" w:lastRowFirstColumn="0" w:lastRowLastColumn="0"/>
              <w:rPr>
                <w:sz w:val="16"/>
              </w:rPr>
            </w:pPr>
            <w:r w:rsidRPr="00F97681">
              <w:rPr>
                <w:sz w:val="16"/>
              </w:rPr>
              <w:t>jusqu’à 60 % dans des cas exceptionnels.</w:t>
            </w:r>
          </w:p>
        </w:tc>
        <w:tc>
          <w:tcPr>
            <w:tcW w:w="2175" w:type="dxa"/>
          </w:tcPr>
          <w:p w14:paraId="200F0EE4" w14:textId="0D16A12C" w:rsidR="00B65C29" w:rsidRPr="006A3764" w:rsidRDefault="000E6C32" w:rsidP="00F97681">
            <w:pPr>
              <w:jc w:val="both"/>
              <w:cnfStyle w:val="000000100000" w:firstRow="0" w:lastRow="0" w:firstColumn="0" w:lastColumn="0" w:oddVBand="0" w:evenVBand="0" w:oddHBand="1" w:evenHBand="0" w:firstRowFirstColumn="0" w:firstRowLastColumn="0" w:lastRowFirstColumn="0" w:lastRowLastColumn="0"/>
              <w:rPr>
                <w:sz w:val="16"/>
              </w:rPr>
            </w:pPr>
            <w:r w:rsidRPr="006A3764">
              <w:rPr>
                <w:sz w:val="16"/>
              </w:rPr>
              <w:t>A la discrétion des acheteurs (taux minimal recommandé).</w:t>
            </w:r>
          </w:p>
        </w:tc>
      </w:tr>
      <w:tr w:rsidR="00B65C29" w14:paraId="3F8C3A8A" w14:textId="7CBB09F4" w:rsidTr="00C46202">
        <w:tc>
          <w:tcPr>
            <w:cnfStyle w:val="001000000000" w:firstRow="0" w:lastRow="0" w:firstColumn="1" w:lastColumn="0" w:oddVBand="0" w:evenVBand="0" w:oddHBand="0" w:evenHBand="0" w:firstRowFirstColumn="0" w:firstRowLastColumn="0" w:lastRowFirstColumn="0" w:lastRowLastColumn="0"/>
            <w:tcW w:w="1838" w:type="dxa"/>
          </w:tcPr>
          <w:p w14:paraId="61AF7C7F" w14:textId="507180D2" w:rsidR="00B65C29" w:rsidRPr="002F0423" w:rsidRDefault="00B65C29" w:rsidP="000E6C32">
            <w:pPr>
              <w:jc w:val="center"/>
              <w:rPr>
                <w:sz w:val="18"/>
              </w:rPr>
            </w:pPr>
            <w:r w:rsidRPr="002F0423">
              <w:rPr>
                <w:sz w:val="18"/>
              </w:rPr>
              <w:t>Montant de la garantie à première demande</w:t>
            </w:r>
          </w:p>
        </w:tc>
        <w:tc>
          <w:tcPr>
            <w:tcW w:w="2577" w:type="dxa"/>
          </w:tcPr>
          <w:p w14:paraId="4221558C" w14:textId="6F20E7FC" w:rsidR="00B65C29" w:rsidRPr="00F97681" w:rsidRDefault="00F97681" w:rsidP="00F97681">
            <w:pPr>
              <w:pStyle w:val="Paragraphedeliste"/>
              <w:numPr>
                <w:ilvl w:val="0"/>
                <w:numId w:val="33"/>
              </w:numPr>
              <w:ind w:left="211" w:hanging="211"/>
              <w:jc w:val="both"/>
              <w:cnfStyle w:val="000000000000" w:firstRow="0" w:lastRow="0" w:firstColumn="0" w:lastColumn="0" w:oddVBand="0" w:evenVBand="0" w:oddHBand="0" w:evenHBand="0" w:firstRowFirstColumn="0" w:firstRowLastColumn="0" w:lastRowFirstColumn="0" w:lastRowLastColumn="0"/>
              <w:rPr>
                <w:sz w:val="16"/>
              </w:rPr>
            </w:pPr>
            <w:r w:rsidRPr="00F97681">
              <w:rPr>
                <w:sz w:val="16"/>
              </w:rPr>
              <w:t>p</w:t>
            </w:r>
            <w:r w:rsidR="005E6957" w:rsidRPr="00F97681">
              <w:rPr>
                <w:sz w:val="16"/>
              </w:rPr>
              <w:t>as de g</w:t>
            </w:r>
            <w:r w:rsidRPr="00F97681">
              <w:rPr>
                <w:sz w:val="16"/>
              </w:rPr>
              <w:t>arantie à première demande si le montant de l’avance est &lt; à 30 % ;</w:t>
            </w:r>
          </w:p>
          <w:p w14:paraId="4D2D5FDC" w14:textId="6A5448D7" w:rsidR="005E6957" w:rsidRPr="00F97681" w:rsidRDefault="00F97681" w:rsidP="00F97681">
            <w:pPr>
              <w:pStyle w:val="Paragraphedeliste"/>
              <w:numPr>
                <w:ilvl w:val="0"/>
                <w:numId w:val="33"/>
              </w:numPr>
              <w:ind w:left="211" w:hanging="211"/>
              <w:jc w:val="both"/>
              <w:cnfStyle w:val="000000000000" w:firstRow="0" w:lastRow="0" w:firstColumn="0" w:lastColumn="0" w:oddVBand="0" w:evenVBand="0" w:oddHBand="0" w:evenHBand="0" w:firstRowFirstColumn="0" w:firstRowLastColumn="0" w:lastRowFirstColumn="0" w:lastRowLastColumn="0"/>
              <w:rPr>
                <w:sz w:val="16"/>
              </w:rPr>
            </w:pPr>
            <w:r w:rsidRPr="00F97681">
              <w:rPr>
                <w:sz w:val="16"/>
              </w:rPr>
              <w:t>entre 30 et 60 %, garantie à première demande à hauteur du montant avancé.</w:t>
            </w:r>
          </w:p>
        </w:tc>
        <w:tc>
          <w:tcPr>
            <w:tcW w:w="2472" w:type="dxa"/>
          </w:tcPr>
          <w:p w14:paraId="3E7B458F" w14:textId="77777777" w:rsidR="00B65C29" w:rsidRPr="00F97681" w:rsidRDefault="00F97681" w:rsidP="00F97681">
            <w:pPr>
              <w:pStyle w:val="Paragraphedeliste"/>
              <w:numPr>
                <w:ilvl w:val="0"/>
                <w:numId w:val="33"/>
              </w:numPr>
              <w:ind w:left="148" w:hanging="142"/>
              <w:contextualSpacing w:val="0"/>
              <w:jc w:val="both"/>
              <w:cnfStyle w:val="000000000000" w:firstRow="0" w:lastRow="0" w:firstColumn="0" w:lastColumn="0" w:oddVBand="0" w:evenVBand="0" w:oddHBand="0" w:evenHBand="0" w:firstRowFirstColumn="0" w:firstRowLastColumn="0" w:lastRowFirstColumn="0" w:lastRowLastColumn="0"/>
              <w:rPr>
                <w:sz w:val="16"/>
              </w:rPr>
            </w:pPr>
            <w:r w:rsidRPr="00F97681">
              <w:rPr>
                <w:sz w:val="16"/>
              </w:rPr>
              <w:t>si le montant de l’avance est &lt; à 30 %, garantie à première demande limitée à 5 % pour tout type d’entreprise ;</w:t>
            </w:r>
          </w:p>
          <w:p w14:paraId="60C34DCA" w14:textId="6D84FCC1" w:rsidR="00F97681" w:rsidRPr="00F97681" w:rsidRDefault="00F97681" w:rsidP="00F97681">
            <w:pPr>
              <w:pStyle w:val="Paragraphedeliste"/>
              <w:numPr>
                <w:ilvl w:val="0"/>
                <w:numId w:val="33"/>
              </w:numPr>
              <w:ind w:left="150" w:hanging="142"/>
              <w:jc w:val="both"/>
              <w:cnfStyle w:val="000000000000" w:firstRow="0" w:lastRow="0" w:firstColumn="0" w:lastColumn="0" w:oddVBand="0" w:evenVBand="0" w:oddHBand="0" w:evenHBand="0" w:firstRowFirstColumn="0" w:firstRowLastColumn="0" w:lastRowFirstColumn="0" w:lastRowLastColumn="0"/>
              <w:rPr>
                <w:sz w:val="16"/>
              </w:rPr>
            </w:pPr>
            <w:r w:rsidRPr="00F97681">
              <w:rPr>
                <w:sz w:val="16"/>
              </w:rPr>
              <w:t>entre 30 et 60 %, garantie à première demande à hauteur du montant avancé.</w:t>
            </w:r>
          </w:p>
        </w:tc>
        <w:tc>
          <w:tcPr>
            <w:tcW w:w="2175" w:type="dxa"/>
          </w:tcPr>
          <w:p w14:paraId="2E79E0A2" w14:textId="50D7CBA8" w:rsidR="00B65C29" w:rsidRPr="006A3764" w:rsidRDefault="00422E5A" w:rsidP="00F97681">
            <w:pPr>
              <w:jc w:val="both"/>
              <w:cnfStyle w:val="000000000000" w:firstRow="0" w:lastRow="0" w:firstColumn="0" w:lastColumn="0" w:oddVBand="0" w:evenVBand="0" w:oddHBand="0" w:evenHBand="0" w:firstRowFirstColumn="0" w:firstRowLastColumn="0" w:lastRowFirstColumn="0" w:lastRowLastColumn="0"/>
              <w:rPr>
                <w:sz w:val="16"/>
              </w:rPr>
            </w:pPr>
            <w:r w:rsidRPr="006A3764">
              <w:rPr>
                <w:sz w:val="16"/>
              </w:rPr>
              <w:t xml:space="preserve">Pas de disposition réglementaire prévue, il est donc possible de suivre le régime le plus favorable (collectivités locales). </w:t>
            </w:r>
          </w:p>
        </w:tc>
      </w:tr>
      <w:tr w:rsidR="00B65C29" w14:paraId="1058B996" w14:textId="14AB7E98" w:rsidTr="00C46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A895310" w14:textId="0C587F45" w:rsidR="00B65C29" w:rsidRPr="002F0423" w:rsidRDefault="00E16392" w:rsidP="000366AE">
            <w:pPr>
              <w:spacing w:before="60" w:after="20"/>
              <w:jc w:val="center"/>
              <w:rPr>
                <w:sz w:val="18"/>
              </w:rPr>
            </w:pPr>
            <w:r w:rsidRPr="002F0423">
              <w:rPr>
                <w:sz w:val="18"/>
              </w:rPr>
              <w:t>Montant de la retenue de garantie</w:t>
            </w:r>
          </w:p>
        </w:tc>
        <w:tc>
          <w:tcPr>
            <w:tcW w:w="2577" w:type="dxa"/>
          </w:tcPr>
          <w:p w14:paraId="01AE9927" w14:textId="7D30B7D5" w:rsidR="00B65C29" w:rsidRPr="00F97681" w:rsidRDefault="00391707" w:rsidP="00F97681">
            <w:pPr>
              <w:pStyle w:val="Paragraphedeliste"/>
              <w:numPr>
                <w:ilvl w:val="0"/>
                <w:numId w:val="33"/>
              </w:numPr>
              <w:ind w:left="176" w:hanging="176"/>
              <w:jc w:val="both"/>
              <w:cnfStyle w:val="000000100000" w:firstRow="0" w:lastRow="0" w:firstColumn="0" w:lastColumn="0" w:oddVBand="0" w:evenVBand="0" w:oddHBand="1" w:evenHBand="0" w:firstRowFirstColumn="0" w:firstRowLastColumn="0" w:lastRowFirstColumn="0" w:lastRowLastColumn="0"/>
              <w:rPr>
                <w:sz w:val="16"/>
              </w:rPr>
            </w:pPr>
            <w:r w:rsidRPr="00F97681">
              <w:rPr>
                <w:sz w:val="16"/>
              </w:rPr>
              <w:t>limité à 3 % pour les TPE/PME, 5% dans les autres cas.</w:t>
            </w:r>
          </w:p>
        </w:tc>
        <w:tc>
          <w:tcPr>
            <w:tcW w:w="2472" w:type="dxa"/>
          </w:tcPr>
          <w:p w14:paraId="2236188E" w14:textId="190AC0B2" w:rsidR="00B65C29" w:rsidRPr="00F97681" w:rsidRDefault="00391707" w:rsidP="00F97681">
            <w:pPr>
              <w:pStyle w:val="Paragraphedeliste"/>
              <w:numPr>
                <w:ilvl w:val="0"/>
                <w:numId w:val="33"/>
              </w:numPr>
              <w:ind w:left="147" w:hanging="147"/>
              <w:contextualSpacing w:val="0"/>
              <w:jc w:val="both"/>
              <w:cnfStyle w:val="000000100000" w:firstRow="0" w:lastRow="0" w:firstColumn="0" w:lastColumn="0" w:oddVBand="0" w:evenVBand="0" w:oddHBand="1" w:evenHBand="0" w:firstRowFirstColumn="0" w:firstRowLastColumn="0" w:lastRowFirstColumn="0" w:lastRowLastColumn="0"/>
              <w:rPr>
                <w:sz w:val="16"/>
              </w:rPr>
            </w:pPr>
            <w:r w:rsidRPr="00F97681">
              <w:rPr>
                <w:sz w:val="16"/>
              </w:rPr>
              <w:t>plafonné à 5 % pour tout type d’entreprise.</w:t>
            </w:r>
          </w:p>
        </w:tc>
        <w:tc>
          <w:tcPr>
            <w:tcW w:w="2175" w:type="dxa"/>
          </w:tcPr>
          <w:p w14:paraId="12245B99" w14:textId="621A64AA" w:rsidR="00B65C29" w:rsidRPr="006A3764" w:rsidRDefault="006A3764" w:rsidP="00F97681">
            <w:pPr>
              <w:jc w:val="both"/>
              <w:cnfStyle w:val="000000100000" w:firstRow="0" w:lastRow="0" w:firstColumn="0" w:lastColumn="0" w:oddVBand="0" w:evenVBand="0" w:oddHBand="1" w:evenHBand="0" w:firstRowFirstColumn="0" w:firstRowLastColumn="0" w:lastRowFirstColumn="0" w:lastRowLastColumn="0"/>
              <w:rPr>
                <w:sz w:val="16"/>
              </w:rPr>
            </w:pPr>
            <w:r w:rsidRPr="006A3764">
              <w:rPr>
                <w:sz w:val="16"/>
              </w:rPr>
              <w:t>Idem.</w:t>
            </w:r>
          </w:p>
        </w:tc>
      </w:tr>
    </w:tbl>
    <w:p w14:paraId="7D13C013" w14:textId="433F94FC" w:rsidR="00CD541B" w:rsidRDefault="00CD541B" w:rsidP="00CD541B">
      <w:pPr>
        <w:pStyle w:val="Titre1"/>
        <w:spacing w:after="240"/>
      </w:pPr>
      <w:bookmarkStart w:id="37" w:name="_Toc7425941"/>
      <w:r w:rsidRPr="007A1854">
        <w:lastRenderedPageBreak/>
        <w:t xml:space="preserve">Fiche </w:t>
      </w:r>
      <w:r>
        <w:t>12</w:t>
      </w:r>
      <w:r w:rsidRPr="007A1854">
        <w:t> </w:t>
      </w:r>
      <w:r>
        <w:t xml:space="preserve">: </w:t>
      </w:r>
      <w:r w:rsidR="00F64F1E">
        <w:t>Savoir déterminer et contrôler le niveau d’</w:t>
      </w:r>
      <w:r w:rsidR="00A86776">
        <w:t>a</w:t>
      </w:r>
      <w:r>
        <w:t>ssurance</w:t>
      </w:r>
      <w:bookmarkEnd w:id="37"/>
    </w:p>
    <w:p w14:paraId="79BC8B04" w14:textId="733A9EDA" w:rsidR="00CD541B" w:rsidRPr="00EB487B" w:rsidRDefault="00CD541B" w:rsidP="00CD541B">
      <w:pPr>
        <w:spacing w:after="120"/>
        <w:ind w:left="227" w:right="227"/>
        <w:jc w:val="both"/>
        <w:rPr>
          <w:rFonts w:eastAsia="Times New Roman" w:cstheme="minorHAnsi"/>
          <w:lang w:eastAsia="fr-FR"/>
        </w:rPr>
      </w:pPr>
      <w:r w:rsidRPr="00922262">
        <w:rPr>
          <w:rStyle w:val="Lienhypertexte"/>
          <w:noProof/>
          <w:szCs w:val="23"/>
          <w:lang w:eastAsia="fr-FR"/>
        </w:rPr>
        <w:drawing>
          <wp:anchor distT="0" distB="0" distL="114300" distR="114300" simplePos="0" relativeHeight="251800576" behindDoc="0" locked="0" layoutInCell="1" allowOverlap="1" wp14:anchorId="13F38DC9" wp14:editId="01931265">
            <wp:simplePos x="0" y="0"/>
            <wp:positionH relativeFrom="margin">
              <wp:align>left</wp:align>
            </wp:positionH>
            <wp:positionV relativeFrom="paragraph">
              <wp:posOffset>10292</wp:posOffset>
            </wp:positionV>
            <wp:extent cx="431165" cy="431165"/>
            <wp:effectExtent l="0" t="0" r="6985" b="6985"/>
            <wp:wrapSquare wrapText="bothSides"/>
            <wp:docPr id="25" name="Image 25" descr="K:\1ESD\1C\COMMUN1C\06. OECP\3 - GT OECP\GT_acces-TPE-PME\Projet de guide\Icônes\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1ESD\1C\COMMUN1C\06. OECP\3 - GT OECP\GT_acces-TPE-PME\Projet de guide\Icônes\book.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flipH="1">
                      <a:off x="0" y="0"/>
                      <a:ext cx="431165" cy="431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582A">
        <w:t>L’a</w:t>
      </w:r>
      <w:r w:rsidR="00F2582A" w:rsidRPr="00F2582A">
        <w:rPr>
          <w:rFonts w:eastAsia="Times New Roman" w:cstheme="minorHAnsi"/>
          <w:lang w:eastAsia="fr-FR"/>
        </w:rPr>
        <w:t>rticle R</w:t>
      </w:r>
      <w:r w:rsidR="00F2582A">
        <w:rPr>
          <w:rFonts w:eastAsia="Times New Roman" w:cstheme="minorHAnsi"/>
          <w:lang w:eastAsia="fr-FR"/>
        </w:rPr>
        <w:t>.</w:t>
      </w:r>
      <w:r w:rsidR="00870B20">
        <w:rPr>
          <w:rFonts w:eastAsia="Times New Roman" w:cstheme="minorHAnsi"/>
          <w:lang w:eastAsia="fr-FR"/>
        </w:rPr>
        <w:t xml:space="preserve"> </w:t>
      </w:r>
      <w:r w:rsidR="00F2582A" w:rsidRPr="00F2582A">
        <w:rPr>
          <w:rFonts w:eastAsia="Times New Roman" w:cstheme="minorHAnsi"/>
          <w:lang w:eastAsia="fr-FR"/>
        </w:rPr>
        <w:t>2142-12</w:t>
      </w:r>
      <w:r w:rsidRPr="00EB487B">
        <w:rPr>
          <w:rFonts w:eastAsia="Times New Roman" w:cstheme="minorHAnsi"/>
          <w:lang w:eastAsia="fr-FR"/>
        </w:rPr>
        <w:t xml:space="preserve"> </w:t>
      </w:r>
      <w:r w:rsidR="00F2582A">
        <w:rPr>
          <w:rFonts w:eastAsia="Times New Roman" w:cstheme="minorHAnsi"/>
          <w:lang w:eastAsia="fr-FR"/>
        </w:rPr>
        <w:t xml:space="preserve">du CCP </w:t>
      </w:r>
      <w:r w:rsidRPr="00EB487B">
        <w:rPr>
          <w:rFonts w:eastAsia="Times New Roman" w:cstheme="minorHAnsi"/>
          <w:lang w:eastAsia="fr-FR"/>
        </w:rPr>
        <w:t>indique que l’acheteur peut</w:t>
      </w:r>
      <w:r w:rsidRPr="00EB487B">
        <w:rPr>
          <w:rFonts w:cstheme="minorHAnsi"/>
          <w:b/>
        </w:rPr>
        <w:t xml:space="preserve"> </w:t>
      </w:r>
      <w:r w:rsidRPr="00EB487B">
        <w:rPr>
          <w:rFonts w:eastAsia="Times New Roman" w:cstheme="minorHAnsi"/>
          <w:lang w:eastAsia="fr-FR"/>
        </w:rPr>
        <w:t xml:space="preserve">exiger un </w:t>
      </w:r>
      <w:r w:rsidRPr="00F2582A">
        <w:rPr>
          <w:rFonts w:eastAsia="Times New Roman" w:cstheme="minorHAnsi"/>
          <w:b/>
          <w:lang w:eastAsia="fr-FR"/>
        </w:rPr>
        <w:t>niveau approprié d'assurance des risques professionnels</w:t>
      </w:r>
      <w:r w:rsidRPr="00EB487B">
        <w:rPr>
          <w:rFonts w:eastAsia="Times New Roman" w:cstheme="minorHAnsi"/>
          <w:lang w:eastAsia="fr-FR"/>
        </w:rPr>
        <w:t xml:space="preserve"> dans le cadre de l’examen des capacités économiques et financières des candidats.</w:t>
      </w:r>
    </w:p>
    <w:p w14:paraId="512E0ADE" w14:textId="77777777" w:rsidR="00CD541B" w:rsidRPr="00EB487B" w:rsidRDefault="00CD541B" w:rsidP="00CD541B">
      <w:pPr>
        <w:spacing w:after="0"/>
        <w:jc w:val="both"/>
        <w:rPr>
          <w:rFonts w:eastAsia="Times New Roman" w:cstheme="minorHAnsi"/>
          <w:lang w:eastAsia="fr-FR"/>
        </w:rPr>
      </w:pPr>
      <w:r w:rsidRPr="00EB487B">
        <w:rPr>
          <w:rFonts w:eastAsia="Times New Roman" w:cstheme="minorHAnsi"/>
          <w:lang w:eastAsia="fr-FR"/>
        </w:rPr>
        <w:t xml:space="preserve">On distinguera principalement au titre des risques professionnels : </w:t>
      </w:r>
    </w:p>
    <w:p w14:paraId="6E63CE92" w14:textId="77777777" w:rsidR="00CD541B" w:rsidRPr="00EB487B" w:rsidRDefault="00CD541B" w:rsidP="00F355F1">
      <w:pPr>
        <w:pStyle w:val="Paragraphedeliste"/>
        <w:numPr>
          <w:ilvl w:val="0"/>
          <w:numId w:val="26"/>
        </w:numPr>
        <w:spacing w:before="0" w:after="0"/>
        <w:ind w:left="714" w:hanging="357"/>
        <w:contextualSpacing w:val="0"/>
        <w:jc w:val="both"/>
        <w:rPr>
          <w:rFonts w:cstheme="minorHAnsi"/>
        </w:rPr>
      </w:pPr>
      <w:r w:rsidRPr="00EB487B">
        <w:rPr>
          <w:rFonts w:eastAsia="Times New Roman" w:cstheme="minorHAnsi"/>
          <w:lang w:eastAsia="fr-FR"/>
        </w:rPr>
        <w:t xml:space="preserve">la responsabilité civile ; </w:t>
      </w:r>
    </w:p>
    <w:p w14:paraId="05F8B4C6" w14:textId="77777777" w:rsidR="00CD541B" w:rsidRPr="00E175AA" w:rsidRDefault="00CD541B" w:rsidP="00CD541B">
      <w:pPr>
        <w:pStyle w:val="Paragraphedeliste"/>
        <w:numPr>
          <w:ilvl w:val="0"/>
          <w:numId w:val="26"/>
        </w:numPr>
        <w:spacing w:after="120"/>
        <w:ind w:left="714" w:hanging="357"/>
        <w:jc w:val="both"/>
        <w:rPr>
          <w:rFonts w:cstheme="minorHAnsi"/>
        </w:rPr>
      </w:pPr>
      <w:r w:rsidRPr="00EB487B">
        <w:rPr>
          <w:rFonts w:eastAsia="Times New Roman" w:cstheme="minorHAnsi"/>
          <w:lang w:eastAsia="fr-FR"/>
        </w:rPr>
        <w:t xml:space="preserve">la garantie décennale. </w:t>
      </w:r>
    </w:p>
    <w:p w14:paraId="702F245B" w14:textId="77777777" w:rsidR="001E054C" w:rsidRDefault="00E175AA" w:rsidP="00A003C7">
      <w:pPr>
        <w:spacing w:after="60"/>
        <w:jc w:val="both"/>
        <w:rPr>
          <w:rFonts w:eastAsia="Times New Roman" w:cstheme="minorHAnsi"/>
          <w:lang w:eastAsia="fr-FR"/>
        </w:rPr>
      </w:pPr>
      <w:r w:rsidRPr="00E175AA">
        <w:rPr>
          <w:rFonts w:eastAsia="Times New Roman" w:cstheme="minorHAnsi"/>
          <w:lang w:eastAsia="fr-FR"/>
        </w:rPr>
        <w:t>En préambule</w:t>
      </w:r>
      <w:r w:rsidR="00D46221">
        <w:rPr>
          <w:rFonts w:eastAsia="Times New Roman" w:cstheme="minorHAnsi"/>
          <w:lang w:eastAsia="fr-FR"/>
        </w:rPr>
        <w:t xml:space="preserve"> général</w:t>
      </w:r>
      <w:r w:rsidRPr="00E175AA">
        <w:rPr>
          <w:rFonts w:eastAsia="Times New Roman" w:cstheme="minorHAnsi"/>
          <w:lang w:eastAsia="fr-FR"/>
        </w:rPr>
        <w:t xml:space="preserve"> on notera que, du fait de la technicité de la matière, le principal risque pour les acheteurs est d’exiger un niveau d’assurance </w:t>
      </w:r>
      <w:r w:rsidR="00870B20" w:rsidRPr="00E175AA">
        <w:rPr>
          <w:rFonts w:eastAsia="Times New Roman" w:cstheme="minorHAnsi"/>
          <w:lang w:eastAsia="fr-FR"/>
        </w:rPr>
        <w:t xml:space="preserve">disproportionné </w:t>
      </w:r>
      <w:r w:rsidRPr="00E175AA">
        <w:rPr>
          <w:rFonts w:eastAsia="Times New Roman" w:cstheme="minorHAnsi"/>
          <w:lang w:eastAsia="fr-FR"/>
        </w:rPr>
        <w:t>par rapport à l’intervention de l’entreprise</w:t>
      </w:r>
      <w:r w:rsidR="004342B1">
        <w:rPr>
          <w:rFonts w:eastAsia="Times New Roman" w:cstheme="minorHAnsi"/>
          <w:lang w:eastAsia="fr-FR"/>
        </w:rPr>
        <w:t xml:space="preserve"> et, se faisant, de renchérir inutilement le coût des offres</w:t>
      </w:r>
      <w:r w:rsidR="002F3ADD">
        <w:rPr>
          <w:rFonts w:eastAsia="Times New Roman" w:cstheme="minorHAnsi"/>
          <w:lang w:eastAsia="fr-FR"/>
        </w:rPr>
        <w:t xml:space="preserve">. </w:t>
      </w:r>
    </w:p>
    <w:p w14:paraId="20A730C1" w14:textId="25BD6495" w:rsidR="00E175AA" w:rsidRDefault="002F3ADD" w:rsidP="00E175AA">
      <w:pPr>
        <w:spacing w:after="120"/>
        <w:jc w:val="both"/>
        <w:rPr>
          <w:rFonts w:eastAsia="Times New Roman" w:cstheme="minorHAnsi"/>
          <w:lang w:eastAsia="fr-FR"/>
        </w:rPr>
      </w:pPr>
      <w:r>
        <w:rPr>
          <w:rFonts w:eastAsia="Times New Roman" w:cstheme="minorHAnsi"/>
          <w:lang w:eastAsia="fr-FR"/>
        </w:rPr>
        <w:t>Cette sur</w:t>
      </w:r>
      <w:r w:rsidR="00A003C7">
        <w:rPr>
          <w:rFonts w:eastAsia="Times New Roman" w:cstheme="minorHAnsi"/>
          <w:lang w:eastAsia="fr-FR"/>
        </w:rPr>
        <w:t>-</w:t>
      </w:r>
      <w:r>
        <w:rPr>
          <w:rFonts w:eastAsia="Times New Roman" w:cstheme="minorHAnsi"/>
          <w:lang w:eastAsia="fr-FR"/>
        </w:rPr>
        <w:t xml:space="preserve">exigence peut également contraindre les entreprises à renégocier à la hausse leur contrat d’assurance, ce qui constitue une charge administrative de plus dans la constitution du dossier de réponse. </w:t>
      </w:r>
    </w:p>
    <w:p w14:paraId="228B5880" w14:textId="1E75011D" w:rsidR="00E175AA" w:rsidRPr="00E175AA" w:rsidRDefault="00E175AA" w:rsidP="00D46221">
      <w:pPr>
        <w:spacing w:after="180"/>
        <w:jc w:val="both"/>
        <w:rPr>
          <w:rFonts w:eastAsia="Times New Roman" w:cstheme="minorHAnsi"/>
          <w:color w:val="FF0000"/>
          <w:lang w:eastAsia="fr-FR"/>
        </w:rPr>
      </w:pPr>
      <w:r w:rsidRPr="00E175AA">
        <w:rPr>
          <w:rFonts w:eastAsia="Times New Roman" w:cstheme="minorHAnsi"/>
          <w:color w:val="FF0000"/>
          <w:lang w:eastAsia="fr-FR"/>
        </w:rPr>
        <w:t>Dans le cadre d’opérations d’envergure, il ne faut donc pas hésiter à se renseigner auprès d’assureurs, d’entreprises spécialisées dans la maitrise d’ouvrage/d’œuvre, ou bien à</w:t>
      </w:r>
      <w:r w:rsidR="000045C7">
        <w:rPr>
          <w:rFonts w:eastAsia="Times New Roman" w:cstheme="minorHAnsi"/>
          <w:color w:val="FF0000"/>
          <w:lang w:eastAsia="fr-FR"/>
        </w:rPr>
        <w:t xml:space="preserve"> solliciter </w:t>
      </w:r>
      <w:r w:rsidRPr="00E175AA">
        <w:rPr>
          <w:rFonts w:eastAsia="Times New Roman" w:cstheme="minorHAnsi"/>
          <w:color w:val="FF0000"/>
          <w:lang w:eastAsia="fr-FR"/>
        </w:rPr>
        <w:t xml:space="preserve">d’autres administrations, avant d’imposer une(des) assurance(s) et pour définir le bon niveau de garantie. </w:t>
      </w:r>
    </w:p>
    <w:p w14:paraId="313BBB9D" w14:textId="4BB4D48A" w:rsidR="00CD541B" w:rsidRPr="004328E3" w:rsidRDefault="00CD541B" w:rsidP="004328E3">
      <w:pPr>
        <w:pStyle w:val="Paragraphedeliste"/>
        <w:numPr>
          <w:ilvl w:val="0"/>
          <w:numId w:val="25"/>
        </w:numPr>
        <w:spacing w:after="120"/>
        <w:jc w:val="both"/>
        <w:rPr>
          <w:rFonts w:eastAsia="Times New Roman" w:cstheme="minorHAnsi"/>
          <w:lang w:eastAsia="fr-FR"/>
        </w:rPr>
      </w:pPr>
      <w:r w:rsidRPr="004328E3">
        <w:rPr>
          <w:rFonts w:eastAsia="Times New Roman" w:cstheme="minorHAnsi"/>
          <w:u w:val="single"/>
          <w:lang w:eastAsia="fr-FR"/>
        </w:rPr>
        <w:t>Responsabilité civile</w:t>
      </w:r>
      <w:r w:rsidRPr="004328E3">
        <w:rPr>
          <w:rFonts w:eastAsia="Times New Roman" w:cstheme="minorHAnsi"/>
          <w:lang w:eastAsia="fr-FR"/>
        </w:rPr>
        <w:t xml:space="preserve"> : les CCAG </w:t>
      </w:r>
      <w:r w:rsidR="004D7CA5" w:rsidRPr="004328E3">
        <w:rPr>
          <w:rFonts w:eastAsia="Times New Roman" w:cstheme="minorHAnsi"/>
          <w:lang w:eastAsia="fr-FR"/>
        </w:rPr>
        <w:t xml:space="preserve">prévoient que le </w:t>
      </w:r>
      <w:r w:rsidRPr="004328E3">
        <w:rPr>
          <w:rFonts w:eastAsia="Times New Roman" w:cstheme="minorHAnsi"/>
          <w:lang w:eastAsia="fr-FR"/>
        </w:rPr>
        <w:t xml:space="preserve">titulaire du marché </w:t>
      </w:r>
      <w:r w:rsidR="004D7CA5" w:rsidRPr="004328E3">
        <w:rPr>
          <w:rFonts w:eastAsia="Times New Roman" w:cstheme="minorHAnsi"/>
          <w:lang w:eastAsia="fr-FR"/>
        </w:rPr>
        <w:t xml:space="preserve">doit contracter cette assurance </w:t>
      </w:r>
      <w:r w:rsidRPr="004328E3">
        <w:rPr>
          <w:rFonts w:eastAsia="Times New Roman" w:cstheme="minorHAnsi"/>
          <w:lang w:eastAsia="fr-FR"/>
        </w:rPr>
        <w:t>afin de « </w:t>
      </w:r>
      <w:r w:rsidRPr="004328E3">
        <w:rPr>
          <w:rFonts w:eastAsia="Times New Roman" w:cstheme="minorHAnsi"/>
          <w:i/>
          <w:lang w:eastAsia="fr-FR"/>
        </w:rPr>
        <w:t>garantir sa responsabilité à l’égard du pouvoir adjudicateur et des tiers, victimes d’accidents ou de dommages causés par l’exécution des prestations</w:t>
      </w:r>
      <w:r w:rsidRPr="004328E3">
        <w:rPr>
          <w:rFonts w:eastAsia="Times New Roman" w:cstheme="minorHAnsi"/>
          <w:lang w:eastAsia="fr-FR"/>
        </w:rPr>
        <w:t> »</w:t>
      </w:r>
      <w:r w:rsidRPr="00EB487B">
        <w:rPr>
          <w:rStyle w:val="Appelnotedebasdep"/>
          <w:rFonts w:eastAsia="Times New Roman" w:cstheme="minorHAnsi"/>
        </w:rPr>
        <w:footnoteReference w:id="41"/>
      </w:r>
      <w:r w:rsidRPr="004328E3">
        <w:rPr>
          <w:rFonts w:eastAsia="Times New Roman" w:cstheme="minorHAnsi"/>
          <w:lang w:eastAsia="fr-FR"/>
        </w:rPr>
        <w:t>.</w:t>
      </w:r>
    </w:p>
    <w:p w14:paraId="5FB4C46E" w14:textId="1072660F" w:rsidR="004D7CA5" w:rsidRPr="00EB487B" w:rsidRDefault="004D7CA5" w:rsidP="00CD541B">
      <w:pPr>
        <w:spacing w:after="120"/>
        <w:jc w:val="both"/>
        <w:rPr>
          <w:rFonts w:eastAsia="Times New Roman" w:cstheme="minorHAnsi"/>
          <w:lang w:eastAsia="fr-FR"/>
        </w:rPr>
      </w:pPr>
      <w:r>
        <w:rPr>
          <w:rFonts w:eastAsia="Times New Roman" w:cstheme="minorHAnsi"/>
          <w:lang w:eastAsia="fr-FR"/>
        </w:rPr>
        <w:t xml:space="preserve">S’agissant d’une assurance facultative, c’est-à-dire </w:t>
      </w:r>
      <w:r w:rsidRPr="004D7CA5">
        <w:rPr>
          <w:rFonts w:eastAsia="Times New Roman" w:cstheme="minorHAnsi"/>
          <w:lang w:eastAsia="fr-FR"/>
        </w:rPr>
        <w:t xml:space="preserve">sans </w:t>
      </w:r>
      <w:r w:rsidRPr="004D7CA5">
        <w:rPr>
          <w:rFonts w:eastAsia="Times New Roman" w:cstheme="minorHAnsi"/>
          <w:bCs/>
          <w:lang w:eastAsia="fr-FR"/>
        </w:rPr>
        <w:t>minimum légal obligatoire,</w:t>
      </w:r>
      <w:r>
        <w:rPr>
          <w:rFonts w:eastAsia="Times New Roman" w:cstheme="minorHAnsi"/>
          <w:lang w:eastAsia="fr-FR"/>
        </w:rPr>
        <w:t xml:space="preserve"> il est conseillé de ne pas imposer dans la consultation de montant minimum de garantie</w:t>
      </w:r>
      <w:r w:rsidR="00A003C7">
        <w:rPr>
          <w:rFonts w:eastAsia="Times New Roman" w:cstheme="minorHAnsi"/>
          <w:lang w:eastAsia="fr-FR"/>
        </w:rPr>
        <w:t xml:space="preserve"> qui soit uniforme</w:t>
      </w:r>
      <w:r w:rsidR="003D6343">
        <w:rPr>
          <w:rFonts w:eastAsia="Times New Roman" w:cstheme="minorHAnsi"/>
          <w:lang w:eastAsia="fr-FR"/>
        </w:rPr>
        <w:t xml:space="preserve"> pour tous les candidats</w:t>
      </w:r>
      <w:r>
        <w:rPr>
          <w:rFonts w:eastAsia="Times New Roman" w:cstheme="minorHAnsi"/>
          <w:lang w:eastAsia="fr-FR"/>
        </w:rPr>
        <w:t>, mais d’imposer aux entreprises de pouvoir justifier d’une garantie suffisante, notamment au regard de l</w:t>
      </w:r>
      <w:r w:rsidR="003D6343">
        <w:rPr>
          <w:rFonts w:eastAsia="Times New Roman" w:cstheme="minorHAnsi"/>
          <w:lang w:eastAsia="fr-FR"/>
        </w:rPr>
        <w:t>eur taille (</w:t>
      </w:r>
      <w:r w:rsidR="006E3B71">
        <w:rPr>
          <w:rFonts w:eastAsia="Times New Roman" w:cstheme="minorHAnsi"/>
          <w:lang w:eastAsia="fr-FR"/>
        </w:rPr>
        <w:t xml:space="preserve">TPE, </w:t>
      </w:r>
      <w:r>
        <w:rPr>
          <w:rFonts w:eastAsia="Times New Roman" w:cstheme="minorHAnsi"/>
          <w:lang w:eastAsia="fr-FR"/>
        </w:rPr>
        <w:t>PME, ETI…).</w:t>
      </w:r>
    </w:p>
    <w:p w14:paraId="5B994BE7" w14:textId="6F515B76" w:rsidR="00CD541B" w:rsidRPr="00EB487B" w:rsidRDefault="00CD541B" w:rsidP="00B65392">
      <w:pPr>
        <w:pStyle w:val="Encart"/>
        <w:spacing w:after="240" w:line="276" w:lineRule="auto"/>
        <w:rPr>
          <w:lang w:eastAsia="fr-FR"/>
        </w:rPr>
      </w:pPr>
      <w:r w:rsidRPr="00EB487B">
        <w:rPr>
          <w:lang w:eastAsia="fr-FR"/>
        </w:rPr>
        <w:t xml:space="preserve">Le </w:t>
      </w:r>
      <w:r w:rsidRPr="004D7CA5">
        <w:rPr>
          <w:lang w:eastAsia="fr-FR"/>
        </w:rPr>
        <w:t>caractère suffisant</w:t>
      </w:r>
      <w:r w:rsidRPr="00EB487B">
        <w:rPr>
          <w:lang w:eastAsia="fr-FR"/>
        </w:rPr>
        <w:t xml:space="preserve"> de la garantie souscrite au titre de la responsabilité civile doit </w:t>
      </w:r>
      <w:r w:rsidR="004D7CA5">
        <w:rPr>
          <w:lang w:eastAsia="fr-FR"/>
        </w:rPr>
        <w:t xml:space="preserve">donc </w:t>
      </w:r>
      <w:r w:rsidRPr="00EB487B">
        <w:rPr>
          <w:lang w:eastAsia="fr-FR"/>
        </w:rPr>
        <w:t xml:space="preserve">être </w:t>
      </w:r>
      <w:r w:rsidRPr="00F81285">
        <w:rPr>
          <w:b/>
          <w:lang w:eastAsia="fr-FR"/>
        </w:rPr>
        <w:t>apprécié au cas par cas</w:t>
      </w:r>
      <w:r w:rsidRPr="00EB487B">
        <w:rPr>
          <w:lang w:eastAsia="fr-FR"/>
        </w:rPr>
        <w:t xml:space="preserve">, en fonction des risques potentiels liés à l’objet du marché et/ou </w:t>
      </w:r>
      <w:r w:rsidR="002C754D">
        <w:rPr>
          <w:lang w:eastAsia="fr-FR"/>
        </w:rPr>
        <w:t xml:space="preserve">à ses </w:t>
      </w:r>
      <w:r w:rsidRPr="00EB487B">
        <w:rPr>
          <w:lang w:eastAsia="fr-FR"/>
        </w:rPr>
        <w:t>conditions d’exécution</w:t>
      </w:r>
      <w:r w:rsidR="002C754D">
        <w:rPr>
          <w:lang w:eastAsia="fr-FR"/>
        </w:rPr>
        <w:t>.</w:t>
      </w:r>
      <w:r w:rsidRPr="00EB487B">
        <w:rPr>
          <w:lang w:eastAsia="fr-FR"/>
        </w:rPr>
        <w:t xml:space="preserve"> </w:t>
      </w:r>
    </w:p>
    <w:p w14:paraId="64CCEDC3" w14:textId="0087019F" w:rsidR="00A6585E" w:rsidRPr="004328E3" w:rsidRDefault="00A6585E" w:rsidP="004328E3">
      <w:pPr>
        <w:pStyle w:val="Paragraphedeliste"/>
        <w:numPr>
          <w:ilvl w:val="0"/>
          <w:numId w:val="25"/>
        </w:numPr>
        <w:spacing w:before="240" w:after="100"/>
        <w:jc w:val="both"/>
        <w:rPr>
          <w:rFonts w:eastAsia="Times New Roman" w:cstheme="minorHAnsi"/>
          <w:lang w:eastAsia="fr-FR"/>
        </w:rPr>
      </w:pPr>
      <w:r w:rsidRPr="00A6585E">
        <w:rPr>
          <w:rFonts w:eastAsia="Times New Roman"/>
          <w:noProof/>
          <w:lang w:eastAsia="fr-FR"/>
        </w:rPr>
        <w:drawing>
          <wp:anchor distT="0" distB="0" distL="114300" distR="114300" simplePos="0" relativeHeight="251809792" behindDoc="1" locked="0" layoutInCell="1" allowOverlap="1" wp14:anchorId="1A95AB16" wp14:editId="2FBB9B0A">
            <wp:simplePos x="0" y="0"/>
            <wp:positionH relativeFrom="margin">
              <wp:posOffset>5293995</wp:posOffset>
            </wp:positionH>
            <wp:positionV relativeFrom="paragraph">
              <wp:posOffset>3810</wp:posOffset>
            </wp:positionV>
            <wp:extent cx="468630" cy="468630"/>
            <wp:effectExtent l="0" t="0" r="0" b="7620"/>
            <wp:wrapTight wrapText="bothSides">
              <wp:wrapPolygon edited="0">
                <wp:start x="7902" y="0"/>
                <wp:lineTo x="3512" y="1756"/>
                <wp:lineTo x="878" y="7902"/>
                <wp:lineTo x="0" y="21073"/>
                <wp:lineTo x="15805" y="21073"/>
                <wp:lineTo x="20195" y="18439"/>
                <wp:lineTo x="20195" y="8780"/>
                <wp:lineTo x="13171" y="0"/>
                <wp:lineTo x="7902" y="0"/>
              </wp:wrapPolygon>
            </wp:wrapTight>
            <wp:docPr id="54" name="Image 54" descr="K:\1ESD\1C\COMMUN1C\06. OECP\3 - GT OECP\GT_acces-TPE-PME\Projet de guide\Icônes et schémas\hou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1ESD\1C\COMMUN1C\06. OECP\3 - GT OECP\GT_acces-TPE-PME\Projet de guide\Icônes et schémas\house.png"/>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68630" cy="468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541B" w:rsidRPr="004328E3">
        <w:rPr>
          <w:rFonts w:eastAsia="Times New Roman" w:cstheme="minorHAnsi"/>
          <w:u w:val="single"/>
          <w:lang w:eastAsia="fr-FR"/>
        </w:rPr>
        <w:t>Garantie décennale</w:t>
      </w:r>
      <w:r w:rsidR="00CD541B" w:rsidRPr="004328E3">
        <w:rPr>
          <w:rFonts w:eastAsia="Times New Roman" w:cstheme="minorHAnsi"/>
          <w:lang w:eastAsia="fr-FR"/>
        </w:rPr>
        <w:t xml:space="preserve"> : </w:t>
      </w:r>
      <w:r w:rsidR="00D7488A" w:rsidRPr="004328E3">
        <w:rPr>
          <w:rFonts w:eastAsia="Times New Roman" w:cstheme="minorHAnsi"/>
          <w:lang w:eastAsia="fr-FR"/>
        </w:rPr>
        <w:t>elle concerne les vices ou dommages de construction qui peuvent affecter la solidité de l'ouvrage et de ses équipements indissociables ou qui le rendent</w:t>
      </w:r>
      <w:r w:rsidR="004342B1" w:rsidRPr="004328E3">
        <w:rPr>
          <w:rFonts w:eastAsia="Times New Roman" w:cstheme="minorHAnsi"/>
          <w:lang w:eastAsia="fr-FR"/>
        </w:rPr>
        <w:t xml:space="preserve"> </w:t>
      </w:r>
      <w:r w:rsidR="00D7488A" w:rsidRPr="004328E3">
        <w:rPr>
          <w:rFonts w:eastAsia="Times New Roman" w:cstheme="minorHAnsi"/>
          <w:lang w:eastAsia="fr-FR"/>
        </w:rPr>
        <w:t>impropre à l'usage auquel il est destiné (par exemple, défaut d'étanchéité, fissurations importantes).</w:t>
      </w:r>
      <w:r w:rsidR="004342B1" w:rsidRPr="004328E3">
        <w:rPr>
          <w:rFonts w:eastAsia="Times New Roman" w:cstheme="minorHAnsi"/>
          <w:lang w:eastAsia="fr-FR"/>
        </w:rPr>
        <w:t xml:space="preserve"> </w:t>
      </w:r>
    </w:p>
    <w:p w14:paraId="2B8A305F" w14:textId="260146EA" w:rsidR="000E0004" w:rsidRDefault="000E0004" w:rsidP="002C754D">
      <w:pPr>
        <w:spacing w:before="120" w:after="120"/>
        <w:jc w:val="both"/>
        <w:rPr>
          <w:rFonts w:eastAsia="Times New Roman" w:cstheme="minorHAnsi"/>
          <w:lang w:eastAsia="fr-FR"/>
        </w:rPr>
      </w:pPr>
      <w:r>
        <w:rPr>
          <w:rFonts w:eastAsia="Times New Roman" w:cstheme="minorHAnsi"/>
          <w:lang w:eastAsia="fr-FR"/>
        </w:rPr>
        <w:t>Ainsi, e</w:t>
      </w:r>
      <w:r w:rsidR="004342B1">
        <w:rPr>
          <w:rFonts w:eastAsia="Times New Roman" w:cstheme="minorHAnsi"/>
          <w:lang w:eastAsia="fr-FR"/>
        </w:rPr>
        <w:t xml:space="preserve">n vertu de l’article </w:t>
      </w:r>
      <w:r w:rsidR="00CD541B" w:rsidRPr="00EB487B">
        <w:rPr>
          <w:rFonts w:eastAsia="Times New Roman" w:cstheme="minorHAnsi"/>
          <w:lang w:eastAsia="fr-FR"/>
        </w:rPr>
        <w:t>L. 241-1 du code des assurances</w:t>
      </w:r>
      <w:r>
        <w:rPr>
          <w:rFonts w:eastAsia="Times New Roman" w:cstheme="minorHAnsi"/>
          <w:lang w:eastAsia="fr-FR"/>
        </w:rPr>
        <w:t>,</w:t>
      </w:r>
      <w:r w:rsidR="00CD541B" w:rsidRPr="00EB487B">
        <w:rPr>
          <w:rFonts w:eastAsia="Times New Roman" w:cstheme="minorHAnsi"/>
          <w:lang w:eastAsia="fr-FR"/>
        </w:rPr>
        <w:t xml:space="preserve"> « </w:t>
      </w:r>
      <w:r w:rsidR="00CD541B" w:rsidRPr="00EB487B">
        <w:rPr>
          <w:rFonts w:eastAsia="Times New Roman" w:cstheme="minorHAnsi"/>
          <w:i/>
          <w:lang w:eastAsia="fr-FR"/>
        </w:rPr>
        <w:t>tout candidat à l'obtention d'un marché public doit être en mesure de justifier qu'il a souscrit un contrat d'assurance le couvrant pour cette responsabilité</w:t>
      </w:r>
      <w:r w:rsidR="00CD541B" w:rsidRPr="00EB487B">
        <w:rPr>
          <w:rFonts w:eastAsia="Times New Roman" w:cstheme="minorHAnsi"/>
          <w:lang w:eastAsia="fr-FR"/>
        </w:rPr>
        <w:t xml:space="preserve"> »</w:t>
      </w:r>
      <w:r>
        <w:rPr>
          <w:rFonts w:eastAsia="Times New Roman" w:cstheme="minorHAnsi"/>
          <w:lang w:eastAsia="fr-FR"/>
        </w:rPr>
        <w:t xml:space="preserve">. </w:t>
      </w:r>
      <w:r w:rsidRPr="000E0004">
        <w:rPr>
          <w:rFonts w:eastAsia="Times New Roman" w:cstheme="minorHAnsi"/>
          <w:lang w:eastAsia="fr-FR"/>
        </w:rPr>
        <w:t xml:space="preserve">La preuve de la </w:t>
      </w:r>
      <w:r w:rsidRPr="000E0004">
        <w:rPr>
          <w:rFonts w:eastAsia="Times New Roman" w:cstheme="minorHAnsi"/>
          <w:b/>
          <w:lang w:eastAsia="fr-FR"/>
        </w:rPr>
        <w:t>souscription</w:t>
      </w:r>
      <w:r w:rsidRPr="000E0004">
        <w:rPr>
          <w:rFonts w:eastAsia="Times New Roman" w:cstheme="minorHAnsi"/>
          <w:lang w:eastAsia="fr-FR"/>
        </w:rPr>
        <w:t xml:space="preserve"> </w:t>
      </w:r>
      <w:r w:rsidRPr="00F355F1">
        <w:rPr>
          <w:rFonts w:eastAsia="Times New Roman" w:cstheme="minorHAnsi"/>
          <w:b/>
          <w:lang w:eastAsia="fr-FR"/>
        </w:rPr>
        <w:t>d’un contrat</w:t>
      </w:r>
      <w:r w:rsidRPr="000E0004">
        <w:rPr>
          <w:rFonts w:eastAsia="Times New Roman" w:cstheme="minorHAnsi"/>
          <w:lang w:eastAsia="fr-FR"/>
        </w:rPr>
        <w:t xml:space="preserve"> d’assurance couvrant la responsabilité décennale ne peut être </w:t>
      </w:r>
      <w:r w:rsidRPr="00F355F1">
        <w:rPr>
          <w:rFonts w:eastAsia="Times New Roman" w:cstheme="minorHAnsi"/>
          <w:lang w:eastAsia="fr-FR"/>
        </w:rPr>
        <w:t>exigée que du seul candidat dont l’offre a été retenue</w:t>
      </w:r>
      <w:r w:rsidR="00986340">
        <w:rPr>
          <w:rStyle w:val="Appelnotedebasdep"/>
          <w:rFonts w:eastAsia="Times New Roman" w:cstheme="minorHAnsi"/>
          <w:lang w:eastAsia="fr-FR"/>
        </w:rPr>
        <w:footnoteReference w:id="42"/>
      </w:r>
      <w:r w:rsidRPr="000E0004">
        <w:rPr>
          <w:rFonts w:eastAsia="Times New Roman" w:cstheme="minorHAnsi"/>
          <w:lang w:eastAsia="fr-FR"/>
        </w:rPr>
        <w:t>. Elle ne saurait être demandée à l’ensemble des candidats, dès le stade du dépôt des candidatures ou au stade de leur vérification.</w:t>
      </w:r>
    </w:p>
    <w:p w14:paraId="4105D55B" w14:textId="1AE5C8D5" w:rsidR="00F355F1" w:rsidRPr="00EB487B" w:rsidRDefault="00F355F1" w:rsidP="00F355F1">
      <w:pPr>
        <w:spacing w:after="120"/>
        <w:jc w:val="both"/>
        <w:rPr>
          <w:rFonts w:eastAsia="Times New Roman" w:cstheme="minorHAnsi"/>
          <w:lang w:eastAsia="fr-FR"/>
        </w:rPr>
      </w:pPr>
      <w:r w:rsidRPr="00EB487B">
        <w:rPr>
          <w:rFonts w:eastAsia="Times New Roman" w:cstheme="minorHAnsi"/>
          <w:lang w:eastAsia="fr-FR"/>
        </w:rPr>
        <w:t xml:space="preserve">L’attestation d’assurance </w:t>
      </w:r>
      <w:r>
        <w:rPr>
          <w:rFonts w:eastAsia="Times New Roman" w:cstheme="minorHAnsi"/>
          <w:lang w:eastAsia="fr-FR"/>
        </w:rPr>
        <w:t xml:space="preserve">fourni </w:t>
      </w:r>
      <w:r w:rsidR="00ED4C17">
        <w:rPr>
          <w:rFonts w:eastAsia="Times New Roman" w:cstheme="minorHAnsi"/>
          <w:lang w:eastAsia="fr-FR"/>
        </w:rPr>
        <w:t>doit en outre comporter l</w:t>
      </w:r>
      <w:r w:rsidRPr="00EB487B">
        <w:rPr>
          <w:rFonts w:eastAsia="Times New Roman" w:cstheme="minorHAnsi"/>
          <w:lang w:eastAsia="fr-FR"/>
        </w:rPr>
        <w:t xml:space="preserve">es </w:t>
      </w:r>
      <w:r w:rsidRPr="00F355F1">
        <w:rPr>
          <w:rFonts w:eastAsia="Times New Roman" w:cstheme="minorHAnsi"/>
          <w:b/>
          <w:lang w:eastAsia="fr-FR"/>
        </w:rPr>
        <w:t>mentions minimales</w:t>
      </w:r>
      <w:r w:rsidR="00ED4C17">
        <w:rPr>
          <w:rFonts w:eastAsia="Times New Roman" w:cstheme="minorHAnsi"/>
          <w:b/>
          <w:lang w:eastAsia="fr-FR"/>
        </w:rPr>
        <w:t xml:space="preserve"> </w:t>
      </w:r>
      <w:r w:rsidRPr="00EB487B">
        <w:rPr>
          <w:rFonts w:eastAsia="Times New Roman" w:cstheme="minorHAnsi"/>
          <w:lang w:eastAsia="fr-FR"/>
        </w:rPr>
        <w:t xml:space="preserve">fixées par </w:t>
      </w:r>
      <w:r w:rsidR="00384453">
        <w:rPr>
          <w:rFonts w:eastAsia="Times New Roman" w:cstheme="minorHAnsi"/>
          <w:lang w:eastAsia="fr-FR"/>
        </w:rPr>
        <w:t>arrêté</w:t>
      </w:r>
      <w:r w:rsidRPr="00EB487B">
        <w:rPr>
          <w:rStyle w:val="Appelnotedebasdep"/>
          <w:rFonts w:eastAsia="Times New Roman" w:cstheme="minorHAnsi"/>
        </w:rPr>
        <w:footnoteReference w:id="43"/>
      </w:r>
      <w:r w:rsidR="00384453">
        <w:rPr>
          <w:rFonts w:eastAsia="Times New Roman" w:cstheme="minorHAnsi"/>
          <w:lang w:eastAsia="fr-FR"/>
        </w:rPr>
        <w:t xml:space="preserve"> : </w:t>
      </w:r>
      <w:r w:rsidRPr="00EB487B">
        <w:rPr>
          <w:rFonts w:eastAsia="Times New Roman" w:cstheme="minorHAnsi"/>
          <w:lang w:eastAsia="fr-FR"/>
        </w:rPr>
        <w:t>dénomination sociale et adresse de l’assuré, n</w:t>
      </w:r>
      <w:r w:rsidR="00384453">
        <w:rPr>
          <w:rFonts w:eastAsia="Times New Roman" w:cstheme="minorHAnsi"/>
          <w:lang w:eastAsia="fr-FR"/>
        </w:rPr>
        <w:t>uméro</w:t>
      </w:r>
      <w:r w:rsidRPr="00EB487B">
        <w:rPr>
          <w:rFonts w:eastAsia="Times New Roman" w:cstheme="minorHAnsi"/>
          <w:lang w:eastAsia="fr-FR"/>
        </w:rPr>
        <w:t xml:space="preserve"> unique d’identification, nom/adresse/coordonnées de l’assureur, n</w:t>
      </w:r>
      <w:r w:rsidR="00384453">
        <w:rPr>
          <w:rFonts w:eastAsia="Times New Roman" w:cstheme="minorHAnsi"/>
          <w:lang w:eastAsia="fr-FR"/>
        </w:rPr>
        <w:t xml:space="preserve">uméro du contrat, période de validité et date d’établissement de l’attestation, </w:t>
      </w:r>
      <w:r w:rsidR="00A745F8">
        <w:rPr>
          <w:rFonts w:eastAsia="Times New Roman" w:cstheme="minorHAnsi"/>
          <w:lang w:eastAsia="fr-FR"/>
        </w:rPr>
        <w:t>périmètre de la garantie, etc.</w:t>
      </w:r>
      <w:r w:rsidRPr="00EB487B">
        <w:rPr>
          <w:rFonts w:eastAsia="Times New Roman" w:cstheme="minorHAnsi"/>
          <w:lang w:eastAsia="fr-FR"/>
        </w:rPr>
        <w:t xml:space="preserve"> </w:t>
      </w:r>
    </w:p>
    <w:p w14:paraId="14B8B78C" w14:textId="350AE1C0" w:rsidR="00CD541B" w:rsidRDefault="002C754D" w:rsidP="002C754D">
      <w:pPr>
        <w:spacing w:before="0" w:after="120"/>
        <w:jc w:val="both"/>
        <w:rPr>
          <w:rFonts w:eastAsia="Times New Roman" w:cstheme="minorHAnsi"/>
          <w:lang w:eastAsia="fr-FR"/>
        </w:rPr>
      </w:pPr>
      <w:r w:rsidRPr="0083248A">
        <w:rPr>
          <w:iCs/>
          <w:noProof/>
          <w:lang w:eastAsia="fr-FR"/>
        </w:rPr>
        <w:lastRenderedPageBreak/>
        <w:drawing>
          <wp:anchor distT="0" distB="0" distL="114300" distR="114300" simplePos="0" relativeHeight="251811840" behindDoc="0" locked="0" layoutInCell="1" allowOverlap="1" wp14:anchorId="2DF66E6A" wp14:editId="56979F7E">
            <wp:simplePos x="0" y="0"/>
            <wp:positionH relativeFrom="margin">
              <wp:align>left</wp:align>
            </wp:positionH>
            <wp:positionV relativeFrom="paragraph">
              <wp:posOffset>7648</wp:posOffset>
            </wp:positionV>
            <wp:extent cx="337185" cy="337185"/>
            <wp:effectExtent l="0" t="0" r="5715" b="5715"/>
            <wp:wrapSquare wrapText="bothSides"/>
            <wp:docPr id="55" name="Image 55" descr="K:\1ESD\1C\COMMUN1C\11. Innovation\GT guide achats innovants\Projet de guide\Icônes\war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1ESD\1C\COMMUN1C\11. Innovation\GT guide achats innovants\Projet de guide\Icônes\warning.png"/>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37185" cy="3371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imes New Roman" w:cstheme="minorHAnsi"/>
          <w:lang w:eastAsia="fr-FR"/>
        </w:rPr>
        <w:t>L</w:t>
      </w:r>
      <w:r w:rsidR="00CD541B" w:rsidRPr="002C754D">
        <w:rPr>
          <w:rFonts w:eastAsia="Times New Roman" w:cstheme="minorHAnsi"/>
          <w:lang w:eastAsia="fr-FR"/>
        </w:rPr>
        <w:t xml:space="preserve">es </w:t>
      </w:r>
      <w:r w:rsidR="00CD541B" w:rsidRPr="002C754D">
        <w:rPr>
          <w:rFonts w:eastAsia="Times New Roman" w:cstheme="minorHAnsi"/>
          <w:b/>
          <w:lang w:eastAsia="fr-FR"/>
        </w:rPr>
        <w:t>ouvrages dits de « génie civil »</w:t>
      </w:r>
      <w:r w:rsidR="00CD541B" w:rsidRPr="002C754D">
        <w:rPr>
          <w:rFonts w:eastAsia="Times New Roman" w:cstheme="minorHAnsi"/>
          <w:lang w:eastAsia="fr-FR"/>
        </w:rPr>
        <w:t xml:space="preserve"> - qui recouvrent un champ non négligeable de travaux publics - sont </w:t>
      </w:r>
      <w:r w:rsidR="00CD541B" w:rsidRPr="002C754D">
        <w:rPr>
          <w:rFonts w:eastAsia="Times New Roman" w:cstheme="minorHAnsi"/>
          <w:b/>
          <w:lang w:eastAsia="fr-FR"/>
        </w:rPr>
        <w:t>exclus du champ d’application</w:t>
      </w:r>
      <w:r w:rsidR="00CD541B" w:rsidRPr="002C754D">
        <w:rPr>
          <w:rFonts w:eastAsia="Times New Roman" w:cstheme="minorHAnsi"/>
          <w:lang w:eastAsia="fr-FR"/>
        </w:rPr>
        <w:t xml:space="preserve"> de la responsabilité décennale</w:t>
      </w:r>
      <w:r w:rsidR="00CD541B" w:rsidRPr="00EB487B">
        <w:rPr>
          <w:rStyle w:val="Appelnotedebasdep"/>
          <w:rFonts w:eastAsia="Times New Roman" w:cstheme="minorHAnsi"/>
        </w:rPr>
        <w:footnoteReference w:id="44"/>
      </w:r>
      <w:r w:rsidR="00CD541B" w:rsidRPr="002C754D">
        <w:rPr>
          <w:rFonts w:eastAsia="Times New Roman" w:cstheme="minorHAnsi"/>
          <w:lang w:eastAsia="fr-FR"/>
        </w:rPr>
        <w:t>, sauf si sauf si l'ouvrage considéré est accessoire à un ouvrage soumis à l’obligation d'assurance. En conséquence, aucune attestation n’est à demander au titre des ouvrages de génie civil.  Exemples : ouvrages maritimes / lacustres /</w:t>
      </w:r>
      <w:r w:rsidR="00F355F1">
        <w:rPr>
          <w:rFonts w:eastAsia="Times New Roman" w:cstheme="minorHAnsi"/>
          <w:lang w:eastAsia="fr-FR"/>
        </w:rPr>
        <w:t xml:space="preserve"> </w:t>
      </w:r>
      <w:r w:rsidR="00CD541B" w:rsidRPr="002C754D">
        <w:rPr>
          <w:rFonts w:eastAsia="Times New Roman" w:cstheme="minorHAnsi"/>
          <w:lang w:eastAsia="fr-FR"/>
        </w:rPr>
        <w:t>fluviaux, ouvrages d'infrastructures routières/ portuaires / aéroportuaires / ferroviaires, ouvrages de traitement de résidus urbains / de déchets industriels…</w:t>
      </w:r>
    </w:p>
    <w:p w14:paraId="7ACAA432" w14:textId="3725F2D8" w:rsidR="002C754D" w:rsidRPr="002C754D" w:rsidRDefault="004328E3" w:rsidP="004328E3">
      <w:pPr>
        <w:spacing w:before="0" w:after="120"/>
        <w:jc w:val="both"/>
        <w:rPr>
          <w:rFonts w:eastAsia="Times New Roman" w:cstheme="minorHAnsi"/>
          <w:lang w:eastAsia="fr-FR"/>
        </w:rPr>
      </w:pPr>
      <w:r>
        <w:rPr>
          <w:rFonts w:eastAsia="Times New Roman" w:cstheme="minorHAnsi"/>
          <w:lang w:eastAsia="fr-FR"/>
        </w:rPr>
        <w:t xml:space="preserve">Les acheteurs doivent </w:t>
      </w:r>
      <w:r w:rsidRPr="004328E3">
        <w:rPr>
          <w:rFonts w:eastAsia="Times New Roman" w:cstheme="minorHAnsi"/>
          <w:lang w:eastAsia="fr-FR"/>
        </w:rPr>
        <w:t>tenir compte des garanties réelles proposé</w:t>
      </w:r>
      <w:r>
        <w:rPr>
          <w:rFonts w:eastAsia="Times New Roman" w:cstheme="minorHAnsi"/>
          <w:lang w:eastAsia="fr-FR"/>
        </w:rPr>
        <w:t>es par le marché de l’assurance</w:t>
      </w:r>
      <w:r w:rsidR="0002013D">
        <w:rPr>
          <w:rFonts w:eastAsia="Times New Roman" w:cstheme="minorHAnsi"/>
          <w:lang w:eastAsia="fr-FR"/>
        </w:rPr>
        <w:t>. Or,</w:t>
      </w:r>
      <w:r>
        <w:rPr>
          <w:rFonts w:eastAsia="Times New Roman" w:cstheme="minorHAnsi"/>
          <w:lang w:eastAsia="fr-FR"/>
        </w:rPr>
        <w:t xml:space="preserve"> </w:t>
      </w:r>
      <w:r w:rsidRPr="004328E3">
        <w:rPr>
          <w:rFonts w:eastAsia="Times New Roman" w:cstheme="minorHAnsi"/>
          <w:lang w:eastAsia="fr-FR"/>
        </w:rPr>
        <w:t>peu d’assureurs proposent des contrats d’assurance de responsabilité décennale pour les ouvrages de génie civil.</w:t>
      </w:r>
      <w:r>
        <w:rPr>
          <w:rFonts w:eastAsia="Times New Roman" w:cstheme="minorHAnsi"/>
          <w:lang w:eastAsia="fr-FR"/>
        </w:rPr>
        <w:t xml:space="preserve"> Ceux qui acceptent</w:t>
      </w:r>
      <w:r w:rsidRPr="00F355F1">
        <w:rPr>
          <w:rFonts w:eastAsia="Times New Roman" w:cstheme="minorHAnsi"/>
          <w:lang w:eastAsia="fr-FR"/>
        </w:rPr>
        <w:t xml:space="preserve"> d'étudier les risques « génie civil » font des propositions souvent très différentes et limite</w:t>
      </w:r>
      <w:r w:rsidR="00F355F1">
        <w:rPr>
          <w:rFonts w:eastAsia="Times New Roman" w:cstheme="minorHAnsi"/>
          <w:lang w:eastAsia="fr-FR"/>
        </w:rPr>
        <w:t xml:space="preserve">nt </w:t>
      </w:r>
      <w:r w:rsidRPr="00F355F1">
        <w:rPr>
          <w:rFonts w:eastAsia="Times New Roman" w:cstheme="minorHAnsi"/>
          <w:lang w:eastAsia="fr-FR"/>
        </w:rPr>
        <w:t>les garanties</w:t>
      </w:r>
      <w:r w:rsidR="00F355F1">
        <w:rPr>
          <w:rFonts w:eastAsia="Times New Roman" w:cstheme="minorHAnsi"/>
          <w:lang w:eastAsia="fr-FR"/>
        </w:rPr>
        <w:t>,</w:t>
      </w:r>
      <w:r w:rsidRPr="00F355F1">
        <w:rPr>
          <w:rFonts w:eastAsia="Times New Roman" w:cstheme="minorHAnsi"/>
          <w:lang w:eastAsia="fr-FR"/>
        </w:rPr>
        <w:t xml:space="preserve"> tant sur l'étendue et le montant de la couverture accordés que sur leur engagement dans le temps. La garantie est le plus souvent limitée à une atteinte à la solidité de l'ouvrage</w:t>
      </w:r>
      <w:r w:rsidR="00EA3F7E">
        <w:rPr>
          <w:rFonts w:eastAsia="Times New Roman" w:cstheme="minorHAnsi"/>
          <w:lang w:eastAsia="fr-FR"/>
        </w:rPr>
        <w:t xml:space="preserve"> avec des exclusions techniques. </w:t>
      </w:r>
    </w:p>
    <w:p w14:paraId="0D66303B" w14:textId="77777777" w:rsidR="00CD541B" w:rsidRPr="00EB487B" w:rsidRDefault="00CD541B" w:rsidP="00CD541B">
      <w:pPr>
        <w:spacing w:after="60"/>
        <w:jc w:val="both"/>
        <w:rPr>
          <w:rFonts w:eastAsia="Times New Roman" w:cstheme="minorHAnsi"/>
          <w:lang w:eastAsia="fr-FR"/>
        </w:rPr>
      </w:pPr>
      <w:r w:rsidRPr="00EB487B">
        <w:rPr>
          <w:rFonts w:eastAsia="Times New Roman" w:cstheme="minorHAnsi"/>
          <w:lang w:eastAsia="fr-FR"/>
        </w:rPr>
        <w:t xml:space="preserve">Pour les ouvrages de construction autres que « génie civil », il existe </w:t>
      </w:r>
      <w:r w:rsidRPr="00F355F1">
        <w:rPr>
          <w:rFonts w:eastAsia="Times New Roman" w:cstheme="minorHAnsi"/>
          <w:lang w:eastAsia="fr-FR"/>
        </w:rPr>
        <w:t xml:space="preserve">deux </w:t>
      </w:r>
      <w:r w:rsidRPr="00F355F1">
        <w:rPr>
          <w:rFonts w:eastAsia="Times New Roman" w:cstheme="minorHAnsi"/>
          <w:b/>
          <w:lang w:eastAsia="fr-FR"/>
        </w:rPr>
        <w:t>solutions d’assurance en fonction de la valeur de l’ouvrage</w:t>
      </w:r>
      <w:r w:rsidRPr="00EB487B">
        <w:rPr>
          <w:rFonts w:eastAsia="Times New Roman" w:cstheme="minorHAnsi"/>
          <w:lang w:eastAsia="fr-FR"/>
        </w:rPr>
        <w:t xml:space="preserve"> à garantir :</w:t>
      </w:r>
    </w:p>
    <w:p w14:paraId="24550E05" w14:textId="77777777" w:rsidR="00CD541B" w:rsidRPr="00EB487B" w:rsidRDefault="00CD541B" w:rsidP="00CD541B">
      <w:pPr>
        <w:pStyle w:val="Paragraphedeliste"/>
        <w:numPr>
          <w:ilvl w:val="0"/>
          <w:numId w:val="26"/>
        </w:numPr>
        <w:spacing w:before="0" w:after="20"/>
        <w:ind w:left="714" w:hanging="357"/>
        <w:contextualSpacing w:val="0"/>
        <w:jc w:val="both"/>
        <w:rPr>
          <w:rFonts w:eastAsia="Times New Roman" w:cstheme="minorHAnsi"/>
          <w:lang w:eastAsia="fr-FR"/>
        </w:rPr>
      </w:pPr>
      <w:r w:rsidRPr="00EB487B">
        <w:rPr>
          <w:rFonts w:eastAsia="Times New Roman" w:cstheme="minorHAnsi"/>
          <w:lang w:eastAsia="fr-FR"/>
        </w:rPr>
        <w:t xml:space="preserve">pour les opérations n’excédant pas 15 M€, les entreprises bénéficient de leur </w:t>
      </w:r>
      <w:r w:rsidRPr="00F355F1">
        <w:rPr>
          <w:rFonts w:eastAsia="Times New Roman" w:cstheme="minorHAnsi"/>
          <w:lang w:eastAsia="fr-FR"/>
        </w:rPr>
        <w:t>assurance individuelle</w:t>
      </w:r>
      <w:r w:rsidRPr="00EB487B">
        <w:rPr>
          <w:rFonts w:eastAsia="Times New Roman" w:cstheme="minorHAnsi"/>
          <w:lang w:eastAsia="fr-FR"/>
        </w:rPr>
        <w:t xml:space="preserve">, qui les garantit pour le montant total des réparations ; </w:t>
      </w:r>
    </w:p>
    <w:p w14:paraId="6E078D56" w14:textId="77777777" w:rsidR="00CD541B" w:rsidRPr="00EB487B" w:rsidRDefault="00CD541B" w:rsidP="00CD541B">
      <w:pPr>
        <w:pStyle w:val="Paragraphedeliste"/>
        <w:numPr>
          <w:ilvl w:val="0"/>
          <w:numId w:val="26"/>
        </w:numPr>
        <w:spacing w:before="0" w:after="120"/>
        <w:ind w:left="714" w:hanging="357"/>
        <w:jc w:val="both"/>
        <w:rPr>
          <w:rFonts w:eastAsia="Times New Roman" w:cstheme="minorHAnsi"/>
          <w:lang w:eastAsia="fr-FR"/>
        </w:rPr>
      </w:pPr>
      <w:r w:rsidRPr="00EB487B">
        <w:rPr>
          <w:rFonts w:eastAsia="Times New Roman" w:cstheme="minorHAnsi"/>
          <w:lang w:eastAsia="fr-FR"/>
        </w:rPr>
        <w:t xml:space="preserve">pour les opérations dépassant 15 M€, un </w:t>
      </w:r>
      <w:r w:rsidRPr="00F355F1">
        <w:rPr>
          <w:rFonts w:eastAsia="Times New Roman" w:cstheme="minorHAnsi"/>
          <w:lang w:eastAsia="fr-FR"/>
        </w:rPr>
        <w:t>contrat collectif de responsabilité décennale (</w:t>
      </w:r>
      <w:r w:rsidRPr="00EB487B">
        <w:rPr>
          <w:rFonts w:eastAsia="Times New Roman" w:cstheme="minorHAnsi"/>
          <w:lang w:eastAsia="fr-FR"/>
        </w:rPr>
        <w:t>CCRD) est proposé aux constructeurs en complément de leur assurance individuelle. Ce contrat spécifique à chaque opération couvre la différence entre le plafond de garantie de l’assurance de chaque constructeur et le coût estimé de l’ouvrage.</w:t>
      </w:r>
    </w:p>
    <w:p w14:paraId="32C60CEF" w14:textId="77777777" w:rsidR="00CD541B" w:rsidRDefault="00CD541B" w:rsidP="00CD541B">
      <w:pPr>
        <w:autoSpaceDE w:val="0"/>
        <w:autoSpaceDN w:val="0"/>
        <w:adjustRightInd w:val="0"/>
        <w:spacing w:after="120"/>
        <w:jc w:val="both"/>
        <w:rPr>
          <w:rFonts w:eastAsia="Times New Roman" w:cstheme="minorHAnsi"/>
          <w:lang w:eastAsia="fr-FR"/>
        </w:rPr>
      </w:pPr>
      <w:r w:rsidRPr="00EB487B">
        <w:rPr>
          <w:rFonts w:eastAsia="Times New Roman" w:cstheme="minorHAnsi"/>
          <w:lang w:eastAsia="fr-FR"/>
        </w:rPr>
        <w:t xml:space="preserve">Les documents de la consultation doivent notamment indiquer qui doit être le souscripteur de la police collective. Cette précision est indispensable afin que chaque entreprise puisse connaître ses coûts d’assurance pour la remise de l’offre. </w:t>
      </w:r>
    </w:p>
    <w:p w14:paraId="3E7F6D04" w14:textId="17837298" w:rsidR="00CD541B" w:rsidRPr="00F355F1" w:rsidRDefault="00F355F1" w:rsidP="00BA5765">
      <w:pPr>
        <w:pStyle w:val="Exemple"/>
        <w:framePr w:wrap="around"/>
        <w:spacing w:after="180"/>
        <w:rPr>
          <w:highlight w:val="yellow"/>
          <w:lang w:eastAsia="fr-FR"/>
        </w:rPr>
      </w:pPr>
      <w:r>
        <w:rPr>
          <w:highlight w:val="yellow"/>
          <w:lang w:eastAsia="fr-FR"/>
        </w:rPr>
        <w:t>Exemple / bonne pratique ou m</w:t>
      </w:r>
      <w:r w:rsidR="00CD541B" w:rsidRPr="00AD422C">
        <w:rPr>
          <w:highlight w:val="yellow"/>
          <w:lang w:eastAsia="fr-FR"/>
        </w:rPr>
        <w:t>auvaise pratique</w:t>
      </w:r>
      <w:r>
        <w:rPr>
          <w:highlight w:val="yellow"/>
          <w:lang w:eastAsia="fr-FR"/>
        </w:rPr>
        <w:t xml:space="preserve"> en matière d’assurance</w:t>
      </w:r>
      <w:r w:rsidR="00CD541B" w:rsidRPr="002E032A">
        <w:rPr>
          <w:lang w:eastAsia="fr-FR"/>
        </w:rPr>
        <w:t xml:space="preserve"> (ex : </w:t>
      </w:r>
      <w:r w:rsidR="00FE3DDF">
        <w:rPr>
          <w:lang w:eastAsia="fr-FR"/>
        </w:rPr>
        <w:t xml:space="preserve">imposer </w:t>
      </w:r>
      <w:r w:rsidR="00CD541B" w:rsidRPr="002E032A">
        <w:rPr>
          <w:lang w:eastAsia="fr-FR"/>
        </w:rPr>
        <w:t>des garanties décenn</w:t>
      </w:r>
      <w:r w:rsidR="00FE3DDF">
        <w:rPr>
          <w:lang w:eastAsia="fr-FR"/>
        </w:rPr>
        <w:t>ales dans des cas non prescrits</w:t>
      </w:r>
      <w:r w:rsidR="00CD541B" w:rsidRPr="002E032A">
        <w:rPr>
          <w:lang w:eastAsia="fr-FR"/>
        </w:rPr>
        <w:t>).</w:t>
      </w:r>
    </w:p>
    <w:p w14:paraId="0BDD44A6" w14:textId="77777777" w:rsidR="004D7CA5" w:rsidRDefault="004D7CA5" w:rsidP="00BA5765">
      <w:pPr>
        <w:spacing w:before="0" w:after="0"/>
        <w:rPr>
          <w:lang w:eastAsia="fr-FR"/>
        </w:rPr>
      </w:pPr>
    </w:p>
    <w:p w14:paraId="6D67BE0B" w14:textId="77777777" w:rsidR="00DE584E" w:rsidRDefault="00CD541B" w:rsidP="0049536C">
      <w:pPr>
        <w:spacing w:before="0" w:after="60"/>
        <w:jc w:val="both"/>
        <w:rPr>
          <w:rFonts w:eastAsia="Times New Roman" w:cstheme="minorHAnsi"/>
          <w:lang w:eastAsia="fr-FR"/>
        </w:rPr>
      </w:pPr>
      <w:r w:rsidRPr="00EB487B">
        <w:rPr>
          <w:rFonts w:eastAsia="Times New Roman" w:cstheme="minorHAnsi"/>
          <w:b/>
          <w:lang w:eastAsia="fr-FR"/>
        </w:rPr>
        <w:t>Cas spécifique des groupements d’entreprises</w:t>
      </w:r>
      <w:r w:rsidRPr="00EB487B">
        <w:rPr>
          <w:rFonts w:eastAsia="Times New Roman" w:cstheme="minorHAnsi"/>
          <w:lang w:eastAsia="fr-FR"/>
        </w:rPr>
        <w:t xml:space="preserve"> : </w:t>
      </w:r>
    </w:p>
    <w:p w14:paraId="21B3C87E" w14:textId="0A1FB773" w:rsidR="00DE584E" w:rsidRPr="00C61662" w:rsidRDefault="00C61662" w:rsidP="00C61662">
      <w:pPr>
        <w:spacing w:after="60"/>
        <w:jc w:val="both"/>
        <w:rPr>
          <w:rFonts w:eastAsia="Times New Roman" w:cstheme="minorHAnsi"/>
          <w:lang w:eastAsia="fr-FR"/>
        </w:rPr>
      </w:pPr>
      <w:r w:rsidRPr="00C61662">
        <w:rPr>
          <w:rFonts w:eastAsia="Times New Roman" w:cstheme="minorHAnsi"/>
          <w:lang w:eastAsia="fr-FR"/>
        </w:rPr>
        <w:t>L</w:t>
      </w:r>
      <w:r w:rsidR="00CD541B" w:rsidRPr="00C61662">
        <w:rPr>
          <w:rFonts w:eastAsia="Times New Roman" w:cstheme="minorHAnsi"/>
          <w:lang w:eastAsia="fr-FR"/>
        </w:rPr>
        <w:t xml:space="preserve">orsque le groupement est conjoint, la police d’assurance des cotraitants </w:t>
      </w:r>
      <w:r w:rsidRPr="00C61662">
        <w:rPr>
          <w:rFonts w:eastAsia="Times New Roman" w:cstheme="minorHAnsi"/>
          <w:lang w:eastAsia="fr-FR"/>
        </w:rPr>
        <w:t>pour la responsabilité civile </w:t>
      </w:r>
      <w:r w:rsidR="00CD541B" w:rsidRPr="00C61662">
        <w:rPr>
          <w:rFonts w:eastAsia="Times New Roman" w:cstheme="minorHAnsi"/>
          <w:lang w:eastAsia="fr-FR"/>
        </w:rPr>
        <w:t>ne nécessite pas de modification, puisque les prestations de chacun sont identifiables et déjà couvertes. Le mandataire doit couvrir sa responsabilité par des extensions de garanties (en particulier s’il est solidaire</w:t>
      </w:r>
      <w:r w:rsidR="00DE584E">
        <w:rPr>
          <w:rStyle w:val="Appelnotedebasdep"/>
          <w:rFonts w:eastAsia="Times New Roman" w:cstheme="minorHAnsi"/>
          <w:lang w:eastAsia="fr-FR"/>
        </w:rPr>
        <w:footnoteReference w:id="45"/>
      </w:r>
      <w:r w:rsidR="00CD541B" w:rsidRPr="00C61662">
        <w:rPr>
          <w:rFonts w:eastAsia="Times New Roman" w:cstheme="minorHAnsi"/>
          <w:lang w:eastAsia="fr-FR"/>
        </w:rPr>
        <w:t xml:space="preserve">).  </w:t>
      </w:r>
    </w:p>
    <w:p w14:paraId="3853AFD0" w14:textId="796C106F" w:rsidR="00CD541B" w:rsidRPr="00C61662" w:rsidRDefault="00C61662" w:rsidP="00C61662">
      <w:pPr>
        <w:spacing w:after="60"/>
        <w:jc w:val="both"/>
        <w:rPr>
          <w:rFonts w:eastAsia="Times New Roman" w:cstheme="minorHAnsi"/>
          <w:lang w:eastAsia="fr-FR"/>
        </w:rPr>
      </w:pPr>
      <w:r>
        <w:rPr>
          <w:rFonts w:eastAsia="Times New Roman" w:cstheme="minorHAnsi"/>
          <w:lang w:eastAsia="fr-FR"/>
        </w:rPr>
        <w:t>L</w:t>
      </w:r>
      <w:r w:rsidR="00CD541B" w:rsidRPr="00C61662">
        <w:rPr>
          <w:rFonts w:eastAsia="Times New Roman" w:cstheme="minorHAnsi"/>
          <w:lang w:eastAsia="fr-FR"/>
        </w:rPr>
        <w:t xml:space="preserve">orsque le groupement est solidaire, la souscription par le mandataire d’une assurance spécifique pour le chantier mérite d’être étudiée, à défaut l’assurance de responsabilité civile de chaque membre nécessite des extensions afin de couvrir leur solidarité contractuelle vis-à-vis du maître de l’ouvrage. </w:t>
      </w:r>
    </w:p>
    <w:p w14:paraId="1BE00B95" w14:textId="77777777" w:rsidR="00CD541B" w:rsidRDefault="00CD541B">
      <w:pPr>
        <w:rPr>
          <w:b/>
          <w:caps/>
          <w:color w:val="FFFFFF" w:themeColor="background1"/>
          <w:spacing w:val="15"/>
          <w:sz w:val="22"/>
          <w:szCs w:val="22"/>
        </w:rPr>
      </w:pPr>
      <w:r>
        <w:br w:type="page"/>
      </w:r>
    </w:p>
    <w:p w14:paraId="46BD771D" w14:textId="1CE61055" w:rsidR="00B82771" w:rsidRDefault="00B82771" w:rsidP="00E00EAD">
      <w:pPr>
        <w:pStyle w:val="Titre1"/>
        <w:spacing w:after="240"/>
      </w:pPr>
      <w:bookmarkStart w:id="38" w:name="_Toc7425942"/>
      <w:r>
        <w:lastRenderedPageBreak/>
        <w:t>Fiche 1</w:t>
      </w:r>
      <w:r w:rsidR="00CD541B">
        <w:t>3</w:t>
      </w:r>
      <w:r>
        <w:t xml:space="preserve"> : </w:t>
      </w:r>
      <w:r w:rsidR="003D5022">
        <w:t>Respecter les d</w:t>
      </w:r>
      <w:r>
        <w:t>élais de paiement</w:t>
      </w:r>
      <w:bookmarkEnd w:id="38"/>
    </w:p>
    <w:p w14:paraId="7F925434" w14:textId="1332D91E" w:rsidR="00E00EAD" w:rsidRDefault="00CF35A6" w:rsidP="00BF4414">
      <w:pPr>
        <w:spacing w:before="0" w:after="120"/>
        <w:jc w:val="both"/>
      </w:pPr>
      <w:r>
        <w:t xml:space="preserve">En complément des mesures </w:t>
      </w:r>
      <w:r w:rsidR="007E646B">
        <w:t xml:space="preserve">prises par les acheteurs pour le versement des </w:t>
      </w:r>
      <w:r>
        <w:t>avances, r</w:t>
      </w:r>
      <w:r w:rsidR="00E00EAD" w:rsidRPr="007B2681">
        <w:t xml:space="preserve">accourcir les délais de paiement est essentiel pour éviter que les PME ne soient confrontées à des difficultés de trésorerie et renoncent à participer à des marchés. </w:t>
      </w:r>
    </w:p>
    <w:p w14:paraId="581AA39B" w14:textId="3CC723D4" w:rsidR="00C65C9D" w:rsidRPr="007B2681" w:rsidRDefault="00C65C9D" w:rsidP="007B0CBB">
      <w:pPr>
        <w:pStyle w:val="Titre3"/>
        <w:spacing w:before="240" w:after="120"/>
      </w:pPr>
      <w:bookmarkStart w:id="39" w:name="_Toc7425943"/>
      <w:r>
        <w:t>Délais</w:t>
      </w:r>
      <w:r w:rsidR="00B542A7">
        <w:t xml:space="preserve"> et rè</w:t>
      </w:r>
      <w:r w:rsidR="00017D21">
        <w:t>gles</w:t>
      </w:r>
      <w:r>
        <w:t xml:space="preserve"> applicables au secteur public</w:t>
      </w:r>
      <w:bookmarkEnd w:id="39"/>
    </w:p>
    <w:p w14:paraId="604CF2D2" w14:textId="09C3D94F" w:rsidR="00723697" w:rsidRDefault="00723697" w:rsidP="00BF4414">
      <w:pPr>
        <w:tabs>
          <w:tab w:val="left" w:pos="426"/>
        </w:tabs>
        <w:spacing w:before="0" w:after="120"/>
        <w:jc w:val="both"/>
      </w:pPr>
      <w:r w:rsidRPr="00017D21">
        <w:rPr>
          <w:rStyle w:val="Lienhypertexte"/>
          <w:noProof/>
          <w:szCs w:val="23"/>
          <w:lang w:eastAsia="fr-FR"/>
        </w:rPr>
        <w:drawing>
          <wp:anchor distT="0" distB="0" distL="114300" distR="114300" simplePos="0" relativeHeight="251814912" behindDoc="0" locked="0" layoutInCell="1" allowOverlap="1" wp14:anchorId="6861EC6C" wp14:editId="4176C761">
            <wp:simplePos x="0" y="0"/>
            <wp:positionH relativeFrom="margin">
              <wp:posOffset>55880</wp:posOffset>
            </wp:positionH>
            <wp:positionV relativeFrom="paragraph">
              <wp:posOffset>6350</wp:posOffset>
            </wp:positionV>
            <wp:extent cx="373380" cy="373380"/>
            <wp:effectExtent l="0" t="0" r="7620" b="7620"/>
            <wp:wrapSquare wrapText="bothSides"/>
            <wp:docPr id="60" name="Image 60" descr="K:\1ESD\1C\COMMUN1C\06. OECP\3 - GT OECP\GT_acces-TPE-PME\Projet de guide\Icônes\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1ESD\1C\COMMUN1C\06. OECP\3 - GT OECP\GT_acces-TPE-PME\Projet de guide\Icônes\book.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flipH="1">
                      <a:off x="0" y="0"/>
                      <a:ext cx="373380" cy="373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7D21" w:rsidRPr="00017D21">
        <w:t>L’article R. 2192-10</w:t>
      </w:r>
      <w:r w:rsidR="00E00EAD" w:rsidRPr="00017D21">
        <w:t xml:space="preserve"> </w:t>
      </w:r>
      <w:r w:rsidR="00017D21" w:rsidRPr="00017D21">
        <w:t xml:space="preserve">du CCP </w:t>
      </w:r>
      <w:r w:rsidR="00E00EAD" w:rsidRPr="007B2681">
        <w:t xml:space="preserve">prévoit un </w:t>
      </w:r>
      <w:r w:rsidR="00E00EAD" w:rsidRPr="007B2681">
        <w:rPr>
          <w:b/>
        </w:rPr>
        <w:t>délai maximal de 30 jours</w:t>
      </w:r>
      <w:r w:rsidR="00E00EAD" w:rsidRPr="007B2681">
        <w:t xml:space="preserve"> pour le paiement des sommes dues aux tiers par l'État et ses établissements publics (autres que ceux à caractère industriel et commercial), les collectivités territoriales et les établissements publics locaux. </w:t>
      </w:r>
    </w:p>
    <w:p w14:paraId="105568F0" w14:textId="77777777" w:rsidR="00B055AE" w:rsidRDefault="00C87756" w:rsidP="00B055AE">
      <w:pPr>
        <w:tabs>
          <w:tab w:val="left" w:pos="426"/>
        </w:tabs>
        <w:spacing w:before="0" w:after="60"/>
        <w:jc w:val="both"/>
      </w:pPr>
      <w:r>
        <w:t>Afin d’inciter les organismes publics à se conformer</w:t>
      </w:r>
      <w:r w:rsidR="00077A09">
        <w:t xml:space="preserve"> au délai réglementaire,</w:t>
      </w:r>
      <w:r>
        <w:t xml:space="preserve"> </w:t>
      </w:r>
      <w:r w:rsidR="00723697">
        <w:t xml:space="preserve">des </w:t>
      </w:r>
      <w:r w:rsidR="00723697" w:rsidRPr="00077A09">
        <w:rPr>
          <w:b/>
        </w:rPr>
        <w:t xml:space="preserve">intérêts moratoires </w:t>
      </w:r>
      <w:r w:rsidR="00723697" w:rsidRPr="00077A09">
        <w:t>courent</w:t>
      </w:r>
      <w:r w:rsidR="00723697" w:rsidRPr="00077A09">
        <w:rPr>
          <w:b/>
        </w:rPr>
        <w:t xml:space="preserve"> de plein droit</w:t>
      </w:r>
      <w:r w:rsidR="00723697">
        <w:t>, ainsi qu’une</w:t>
      </w:r>
      <w:r w:rsidR="00E00EAD" w:rsidRPr="007B2681">
        <w:t xml:space="preserve"> une indemnité forfaitaire de </w:t>
      </w:r>
      <w:r w:rsidR="00723697">
        <w:t>40€ pour frais de recouvrement</w:t>
      </w:r>
      <w:r w:rsidR="00077A09">
        <w:t xml:space="preserve">, dès le lendemain </w:t>
      </w:r>
      <w:r w:rsidR="00077A09" w:rsidRPr="00077A09">
        <w:t xml:space="preserve">de l'expiration du délai de paiement ou de </w:t>
      </w:r>
      <w:r w:rsidR="00077A09">
        <w:t>l'échéance prévue par le marché</w:t>
      </w:r>
      <w:r w:rsidR="00723697">
        <w:rPr>
          <w:rStyle w:val="Appelnotedebasdep"/>
        </w:rPr>
        <w:footnoteReference w:id="46"/>
      </w:r>
      <w:r w:rsidR="00077A09">
        <w:t xml:space="preserve">. </w:t>
      </w:r>
    </w:p>
    <w:p w14:paraId="2BB54A00" w14:textId="5A68D313" w:rsidR="00E00EAD" w:rsidRPr="007B2681" w:rsidRDefault="00077A09" w:rsidP="00EB06F2">
      <w:pPr>
        <w:pStyle w:val="Paragraphedeliste"/>
        <w:numPr>
          <w:ilvl w:val="0"/>
          <w:numId w:val="25"/>
        </w:numPr>
        <w:tabs>
          <w:tab w:val="left" w:pos="426"/>
        </w:tabs>
        <w:spacing w:before="0" w:after="180"/>
        <w:jc w:val="both"/>
      </w:pPr>
      <w:r>
        <w:t>Les entreprises n’ont aucune démarche à effectuer pour en bénéficier, cependant si elles constatent que les intérêts moratoires dus n’ont pas été versés, elles sont fondées à en solliciter le règlement</w:t>
      </w:r>
      <w:r w:rsidR="002C3F9C">
        <w:rPr>
          <w:rStyle w:val="Appelnotedebasdep"/>
        </w:rPr>
        <w:footnoteReference w:id="47"/>
      </w:r>
      <w:r>
        <w:t xml:space="preserve">. </w:t>
      </w:r>
    </w:p>
    <w:tbl>
      <w:tblPr>
        <w:tblW w:w="6379" w:type="dxa"/>
        <w:jc w:val="center"/>
        <w:tblCellMar>
          <w:left w:w="70" w:type="dxa"/>
          <w:right w:w="70" w:type="dxa"/>
        </w:tblCellMar>
        <w:tblLook w:val="04A0" w:firstRow="1" w:lastRow="0" w:firstColumn="1" w:lastColumn="0" w:noHBand="0" w:noVBand="1"/>
      </w:tblPr>
      <w:tblGrid>
        <w:gridCol w:w="5103"/>
        <w:gridCol w:w="1276"/>
      </w:tblGrid>
      <w:tr w:rsidR="00E00EAD" w14:paraId="32CB1E06" w14:textId="77777777" w:rsidTr="0025042F">
        <w:trPr>
          <w:trHeight w:val="405"/>
          <w:jc w:val="center"/>
        </w:trPr>
        <w:tc>
          <w:tcPr>
            <w:tcW w:w="6379" w:type="dxa"/>
            <w:gridSpan w:val="2"/>
            <w:noWrap/>
            <w:vAlign w:val="center"/>
            <w:hideMark/>
          </w:tcPr>
          <w:p w14:paraId="64E4A642" w14:textId="77777777" w:rsidR="00E00EAD" w:rsidRDefault="00E00EAD" w:rsidP="00BF4414">
            <w:pPr>
              <w:spacing w:before="0" w:after="120"/>
              <w:jc w:val="center"/>
              <w:rPr>
                <w:rFonts w:ascii="Calibri" w:eastAsia="Times New Roman" w:hAnsi="Calibri" w:cs="Calibri"/>
                <w:b/>
                <w:bCs/>
                <w:color w:val="000000"/>
                <w:sz w:val="24"/>
                <w:szCs w:val="24"/>
                <w:lang w:eastAsia="fr-FR"/>
              </w:rPr>
            </w:pPr>
            <w:r w:rsidRPr="007B2681">
              <w:rPr>
                <w:rFonts w:ascii="Calibri" w:eastAsia="Times New Roman" w:hAnsi="Calibri" w:cs="Calibri"/>
                <w:b/>
                <w:bCs/>
                <w:color w:val="000000"/>
                <w:szCs w:val="24"/>
                <w:lang w:eastAsia="fr-FR"/>
              </w:rPr>
              <w:t>Tableau récapitulatif des délais de paiement réglementaires</w:t>
            </w:r>
          </w:p>
        </w:tc>
      </w:tr>
      <w:tr w:rsidR="00E00EAD" w14:paraId="2012DFF5" w14:textId="77777777" w:rsidTr="0025042F">
        <w:trPr>
          <w:trHeight w:val="300"/>
          <w:jc w:val="center"/>
        </w:trPr>
        <w:tc>
          <w:tcPr>
            <w:tcW w:w="5103" w:type="dxa"/>
            <w:tcBorders>
              <w:top w:val="single" w:sz="4" w:space="0" w:color="auto"/>
              <w:left w:val="single" w:sz="4" w:space="0" w:color="auto"/>
              <w:bottom w:val="single" w:sz="4" w:space="0" w:color="auto"/>
              <w:right w:val="single" w:sz="4" w:space="0" w:color="auto"/>
            </w:tcBorders>
            <w:noWrap/>
            <w:vAlign w:val="bottom"/>
            <w:hideMark/>
          </w:tcPr>
          <w:p w14:paraId="354BA32C" w14:textId="39EBF9C2" w:rsidR="00E00EAD" w:rsidRPr="0025042F" w:rsidRDefault="00F02C73" w:rsidP="00BF4414">
            <w:pPr>
              <w:spacing w:before="0" w:after="120"/>
              <w:jc w:val="center"/>
              <w:rPr>
                <w:rFonts w:ascii="Calibri" w:eastAsia="Times New Roman" w:hAnsi="Calibri" w:cs="Calibri"/>
                <w:b/>
                <w:bCs/>
                <w:color w:val="000000"/>
                <w:sz w:val="18"/>
                <w:szCs w:val="22"/>
                <w:lang w:eastAsia="fr-FR"/>
              </w:rPr>
            </w:pPr>
            <w:r w:rsidRPr="0025042F">
              <w:rPr>
                <w:rFonts w:ascii="Calibri" w:eastAsia="Times New Roman" w:hAnsi="Calibri" w:cs="Calibri"/>
                <w:b/>
                <w:bCs/>
                <w:color w:val="000000"/>
                <w:sz w:val="18"/>
                <w:lang w:eastAsia="fr-FR"/>
              </w:rPr>
              <w:t>Organismes publics</w:t>
            </w:r>
          </w:p>
        </w:tc>
        <w:tc>
          <w:tcPr>
            <w:tcW w:w="1276" w:type="dxa"/>
            <w:tcBorders>
              <w:top w:val="single" w:sz="4" w:space="0" w:color="auto"/>
              <w:left w:val="nil"/>
              <w:bottom w:val="single" w:sz="4" w:space="0" w:color="auto"/>
              <w:right w:val="single" w:sz="4" w:space="0" w:color="auto"/>
            </w:tcBorders>
            <w:noWrap/>
            <w:vAlign w:val="bottom"/>
            <w:hideMark/>
          </w:tcPr>
          <w:p w14:paraId="31BFA467" w14:textId="77777777" w:rsidR="00E00EAD" w:rsidRPr="0025042F" w:rsidRDefault="00E00EAD" w:rsidP="00BF4414">
            <w:pPr>
              <w:spacing w:before="0" w:after="120"/>
              <w:jc w:val="center"/>
              <w:rPr>
                <w:rFonts w:ascii="Calibri" w:eastAsia="Times New Roman" w:hAnsi="Calibri" w:cs="Calibri"/>
                <w:b/>
                <w:bCs/>
                <w:color w:val="000000"/>
                <w:sz w:val="18"/>
                <w:lang w:eastAsia="fr-FR"/>
              </w:rPr>
            </w:pPr>
            <w:r w:rsidRPr="0025042F">
              <w:rPr>
                <w:rFonts w:ascii="Calibri" w:eastAsia="Times New Roman" w:hAnsi="Calibri" w:cs="Calibri"/>
                <w:b/>
                <w:bCs/>
                <w:color w:val="000000"/>
                <w:sz w:val="18"/>
                <w:lang w:eastAsia="fr-FR"/>
              </w:rPr>
              <w:t xml:space="preserve">Délais </w:t>
            </w:r>
          </w:p>
        </w:tc>
      </w:tr>
      <w:tr w:rsidR="00E00EAD" w14:paraId="1F886531" w14:textId="77777777" w:rsidTr="0025042F">
        <w:trPr>
          <w:trHeight w:val="300"/>
          <w:jc w:val="center"/>
        </w:trPr>
        <w:tc>
          <w:tcPr>
            <w:tcW w:w="5103" w:type="dxa"/>
            <w:tcBorders>
              <w:top w:val="nil"/>
              <w:left w:val="single" w:sz="4" w:space="0" w:color="auto"/>
              <w:bottom w:val="single" w:sz="4" w:space="0" w:color="auto"/>
              <w:right w:val="single" w:sz="4" w:space="0" w:color="auto"/>
            </w:tcBorders>
            <w:noWrap/>
            <w:vAlign w:val="bottom"/>
            <w:hideMark/>
          </w:tcPr>
          <w:p w14:paraId="0F2679FF" w14:textId="77777777" w:rsidR="00E00EAD" w:rsidRPr="0025042F" w:rsidRDefault="00E00EAD" w:rsidP="004616B2">
            <w:pPr>
              <w:spacing w:before="0" w:after="60"/>
              <w:rPr>
                <w:rFonts w:ascii="Calibri" w:eastAsia="Times New Roman" w:hAnsi="Calibri" w:cs="Calibri"/>
                <w:color w:val="000000"/>
                <w:sz w:val="18"/>
                <w:lang w:eastAsia="fr-FR"/>
              </w:rPr>
            </w:pPr>
            <w:r w:rsidRPr="0025042F">
              <w:rPr>
                <w:rFonts w:ascii="Calibri" w:eastAsia="Times New Roman" w:hAnsi="Calibri" w:cs="Calibri"/>
                <w:color w:val="000000"/>
                <w:sz w:val="18"/>
                <w:lang w:eastAsia="fr-FR"/>
              </w:rPr>
              <w:t>État, ses établissements publics (autres qu’EPIC)</w:t>
            </w:r>
          </w:p>
        </w:tc>
        <w:tc>
          <w:tcPr>
            <w:tcW w:w="1276" w:type="dxa"/>
            <w:vMerge w:val="restart"/>
            <w:tcBorders>
              <w:top w:val="nil"/>
              <w:left w:val="single" w:sz="4" w:space="0" w:color="auto"/>
              <w:bottom w:val="single" w:sz="4" w:space="0" w:color="auto"/>
              <w:right w:val="single" w:sz="4" w:space="0" w:color="auto"/>
            </w:tcBorders>
            <w:noWrap/>
            <w:vAlign w:val="center"/>
            <w:hideMark/>
          </w:tcPr>
          <w:p w14:paraId="5222E3C2" w14:textId="77777777" w:rsidR="00E00EAD" w:rsidRPr="0025042F" w:rsidRDefault="00E00EAD" w:rsidP="00BF4414">
            <w:pPr>
              <w:spacing w:before="0" w:after="120"/>
              <w:jc w:val="center"/>
              <w:rPr>
                <w:rFonts w:ascii="Calibri" w:eastAsia="Times New Roman" w:hAnsi="Calibri" w:cs="Calibri"/>
                <w:color w:val="000000"/>
                <w:sz w:val="18"/>
                <w:lang w:eastAsia="fr-FR"/>
              </w:rPr>
            </w:pPr>
            <w:r w:rsidRPr="0025042F">
              <w:rPr>
                <w:rFonts w:ascii="Calibri" w:eastAsia="Times New Roman" w:hAnsi="Calibri" w:cs="Calibri"/>
                <w:color w:val="000000"/>
                <w:sz w:val="18"/>
                <w:lang w:eastAsia="fr-FR"/>
              </w:rPr>
              <w:t>30 jours</w:t>
            </w:r>
          </w:p>
        </w:tc>
      </w:tr>
      <w:tr w:rsidR="00E00EAD" w14:paraId="7BA5493F" w14:textId="77777777" w:rsidTr="0025042F">
        <w:trPr>
          <w:trHeight w:val="300"/>
          <w:jc w:val="center"/>
        </w:trPr>
        <w:tc>
          <w:tcPr>
            <w:tcW w:w="5103" w:type="dxa"/>
            <w:tcBorders>
              <w:top w:val="nil"/>
              <w:left w:val="single" w:sz="4" w:space="0" w:color="auto"/>
              <w:bottom w:val="single" w:sz="4" w:space="0" w:color="auto"/>
              <w:right w:val="single" w:sz="4" w:space="0" w:color="auto"/>
            </w:tcBorders>
            <w:noWrap/>
            <w:vAlign w:val="bottom"/>
            <w:hideMark/>
          </w:tcPr>
          <w:p w14:paraId="4E9EC8DD" w14:textId="77777777" w:rsidR="00E00EAD" w:rsidRPr="0025042F" w:rsidRDefault="00E00EAD" w:rsidP="004616B2">
            <w:pPr>
              <w:spacing w:before="0" w:after="60"/>
              <w:rPr>
                <w:rFonts w:ascii="Calibri" w:eastAsia="Times New Roman" w:hAnsi="Calibri" w:cs="Calibri"/>
                <w:color w:val="000000"/>
                <w:sz w:val="18"/>
                <w:lang w:eastAsia="fr-FR"/>
              </w:rPr>
            </w:pPr>
            <w:r w:rsidRPr="0025042F">
              <w:rPr>
                <w:rFonts w:ascii="Calibri" w:eastAsia="Times New Roman" w:hAnsi="Calibri" w:cs="Calibri"/>
                <w:color w:val="000000"/>
                <w:sz w:val="18"/>
                <w:lang w:eastAsia="fr-FR"/>
              </w:rPr>
              <w:t>Collectivités territoriales et établissements publics locaux</w:t>
            </w:r>
          </w:p>
        </w:tc>
        <w:tc>
          <w:tcPr>
            <w:tcW w:w="1276" w:type="dxa"/>
            <w:vMerge/>
            <w:tcBorders>
              <w:top w:val="nil"/>
              <w:left w:val="single" w:sz="4" w:space="0" w:color="auto"/>
              <w:bottom w:val="single" w:sz="4" w:space="0" w:color="auto"/>
              <w:right w:val="single" w:sz="4" w:space="0" w:color="auto"/>
            </w:tcBorders>
            <w:vAlign w:val="center"/>
            <w:hideMark/>
          </w:tcPr>
          <w:p w14:paraId="3C8CABBD" w14:textId="77777777" w:rsidR="00E00EAD" w:rsidRPr="0025042F" w:rsidRDefault="00E00EAD" w:rsidP="00BF4414">
            <w:pPr>
              <w:spacing w:before="0" w:after="120"/>
              <w:rPr>
                <w:rFonts w:ascii="Calibri" w:eastAsia="Times New Roman" w:hAnsi="Calibri" w:cs="Calibri"/>
                <w:color w:val="000000"/>
                <w:sz w:val="18"/>
                <w:szCs w:val="22"/>
                <w:lang w:eastAsia="fr-FR"/>
              </w:rPr>
            </w:pPr>
          </w:p>
        </w:tc>
      </w:tr>
      <w:tr w:rsidR="00E00EAD" w14:paraId="3AF24F05" w14:textId="77777777" w:rsidTr="0025042F">
        <w:trPr>
          <w:trHeight w:val="300"/>
          <w:jc w:val="center"/>
        </w:trPr>
        <w:tc>
          <w:tcPr>
            <w:tcW w:w="5103" w:type="dxa"/>
            <w:tcBorders>
              <w:top w:val="nil"/>
              <w:left w:val="single" w:sz="4" w:space="0" w:color="auto"/>
              <w:bottom w:val="single" w:sz="4" w:space="0" w:color="auto"/>
              <w:right w:val="single" w:sz="4" w:space="0" w:color="auto"/>
            </w:tcBorders>
            <w:noWrap/>
            <w:vAlign w:val="bottom"/>
            <w:hideMark/>
          </w:tcPr>
          <w:p w14:paraId="0EF8030E" w14:textId="77777777" w:rsidR="00E00EAD" w:rsidRPr="0025042F" w:rsidRDefault="00E00EAD" w:rsidP="004616B2">
            <w:pPr>
              <w:spacing w:before="0" w:after="60"/>
              <w:rPr>
                <w:rFonts w:ascii="Calibri" w:eastAsia="Times New Roman" w:hAnsi="Calibri" w:cs="Calibri"/>
                <w:color w:val="000000"/>
                <w:sz w:val="18"/>
                <w:lang w:eastAsia="fr-FR"/>
              </w:rPr>
            </w:pPr>
            <w:r w:rsidRPr="0025042F">
              <w:rPr>
                <w:rFonts w:ascii="Calibri" w:eastAsia="Times New Roman" w:hAnsi="Calibri" w:cs="Calibri"/>
                <w:color w:val="000000"/>
                <w:sz w:val="18"/>
                <w:lang w:eastAsia="fr-FR"/>
              </w:rPr>
              <w:t>Personnes morales de droit privé</w:t>
            </w:r>
            <w:r w:rsidRPr="0025042F">
              <w:rPr>
                <w:sz w:val="18"/>
              </w:rPr>
              <w:t xml:space="preserve"> </w:t>
            </w:r>
            <w:r w:rsidRPr="0025042F">
              <w:rPr>
                <w:rFonts w:ascii="Calibri" w:eastAsia="Times New Roman" w:hAnsi="Calibri" w:cs="Calibri"/>
                <w:color w:val="000000"/>
                <w:sz w:val="18"/>
                <w:lang w:eastAsia="fr-FR"/>
              </w:rPr>
              <w:t>créées pour satisfaire des besoins d'intérêt général</w:t>
            </w:r>
          </w:p>
        </w:tc>
        <w:tc>
          <w:tcPr>
            <w:tcW w:w="1276" w:type="dxa"/>
            <w:vMerge/>
            <w:tcBorders>
              <w:top w:val="nil"/>
              <w:left w:val="single" w:sz="4" w:space="0" w:color="auto"/>
              <w:bottom w:val="single" w:sz="4" w:space="0" w:color="auto"/>
              <w:right w:val="single" w:sz="4" w:space="0" w:color="auto"/>
            </w:tcBorders>
            <w:vAlign w:val="center"/>
            <w:hideMark/>
          </w:tcPr>
          <w:p w14:paraId="5B99EBA7" w14:textId="77777777" w:rsidR="00E00EAD" w:rsidRPr="0025042F" w:rsidRDefault="00E00EAD" w:rsidP="00BF4414">
            <w:pPr>
              <w:spacing w:before="0" w:after="120"/>
              <w:rPr>
                <w:rFonts w:ascii="Calibri" w:eastAsia="Times New Roman" w:hAnsi="Calibri" w:cs="Calibri"/>
                <w:color w:val="000000"/>
                <w:sz w:val="18"/>
                <w:szCs w:val="22"/>
                <w:lang w:eastAsia="fr-FR"/>
              </w:rPr>
            </w:pPr>
          </w:p>
        </w:tc>
      </w:tr>
      <w:tr w:rsidR="00E00EAD" w14:paraId="5960E31C" w14:textId="77777777" w:rsidTr="0025042F">
        <w:trPr>
          <w:trHeight w:val="300"/>
          <w:jc w:val="center"/>
        </w:trPr>
        <w:tc>
          <w:tcPr>
            <w:tcW w:w="5103" w:type="dxa"/>
            <w:tcBorders>
              <w:top w:val="nil"/>
              <w:left w:val="single" w:sz="4" w:space="0" w:color="auto"/>
              <w:bottom w:val="single" w:sz="4" w:space="0" w:color="auto"/>
              <w:right w:val="single" w:sz="4" w:space="0" w:color="auto"/>
            </w:tcBorders>
            <w:noWrap/>
            <w:vAlign w:val="bottom"/>
            <w:hideMark/>
          </w:tcPr>
          <w:p w14:paraId="7CCE3520" w14:textId="77777777" w:rsidR="00E00EAD" w:rsidRPr="0025042F" w:rsidRDefault="00E00EAD" w:rsidP="004616B2">
            <w:pPr>
              <w:spacing w:before="0" w:after="60"/>
              <w:rPr>
                <w:rFonts w:ascii="Calibri" w:eastAsia="Times New Roman" w:hAnsi="Calibri" w:cs="Calibri"/>
                <w:color w:val="000000"/>
                <w:sz w:val="18"/>
                <w:lang w:eastAsia="fr-FR"/>
              </w:rPr>
            </w:pPr>
            <w:r w:rsidRPr="0025042F">
              <w:rPr>
                <w:rFonts w:ascii="Calibri" w:eastAsia="Times New Roman" w:hAnsi="Calibri" w:cs="Calibri"/>
                <w:color w:val="000000"/>
                <w:sz w:val="18"/>
                <w:lang w:eastAsia="fr-FR"/>
              </w:rPr>
              <w:t xml:space="preserve">Etablissements publics de santé </w:t>
            </w:r>
          </w:p>
        </w:tc>
        <w:tc>
          <w:tcPr>
            <w:tcW w:w="1276" w:type="dxa"/>
            <w:tcBorders>
              <w:top w:val="nil"/>
              <w:left w:val="nil"/>
              <w:bottom w:val="single" w:sz="4" w:space="0" w:color="auto"/>
              <w:right w:val="single" w:sz="4" w:space="0" w:color="auto"/>
            </w:tcBorders>
            <w:noWrap/>
            <w:vAlign w:val="bottom"/>
            <w:hideMark/>
          </w:tcPr>
          <w:p w14:paraId="0DD90351" w14:textId="77777777" w:rsidR="00E00EAD" w:rsidRPr="0025042F" w:rsidRDefault="00E00EAD" w:rsidP="004616B2">
            <w:pPr>
              <w:spacing w:before="0" w:after="60"/>
              <w:jc w:val="center"/>
              <w:rPr>
                <w:rFonts w:ascii="Calibri" w:eastAsia="Times New Roman" w:hAnsi="Calibri" w:cs="Calibri"/>
                <w:color w:val="000000"/>
                <w:sz w:val="18"/>
                <w:lang w:eastAsia="fr-FR"/>
              </w:rPr>
            </w:pPr>
            <w:r w:rsidRPr="0025042F">
              <w:rPr>
                <w:rFonts w:ascii="Calibri" w:eastAsia="Times New Roman" w:hAnsi="Calibri" w:cs="Calibri"/>
                <w:color w:val="000000"/>
                <w:sz w:val="18"/>
                <w:lang w:eastAsia="fr-FR"/>
              </w:rPr>
              <w:t>50 jours</w:t>
            </w:r>
          </w:p>
        </w:tc>
      </w:tr>
      <w:tr w:rsidR="00E00EAD" w14:paraId="5D663BFD" w14:textId="77777777" w:rsidTr="0025042F">
        <w:trPr>
          <w:trHeight w:val="300"/>
          <w:jc w:val="center"/>
        </w:trPr>
        <w:tc>
          <w:tcPr>
            <w:tcW w:w="5103" w:type="dxa"/>
            <w:tcBorders>
              <w:top w:val="nil"/>
              <w:left w:val="single" w:sz="4" w:space="0" w:color="auto"/>
              <w:bottom w:val="single" w:sz="4" w:space="0" w:color="auto"/>
              <w:right w:val="single" w:sz="4" w:space="0" w:color="auto"/>
            </w:tcBorders>
            <w:vAlign w:val="bottom"/>
            <w:hideMark/>
          </w:tcPr>
          <w:p w14:paraId="74F59B36" w14:textId="77777777" w:rsidR="00E00EAD" w:rsidRPr="0025042F" w:rsidRDefault="00E00EAD" w:rsidP="004616B2">
            <w:pPr>
              <w:spacing w:before="0" w:after="60"/>
              <w:rPr>
                <w:rFonts w:ascii="Calibri" w:eastAsia="Times New Roman" w:hAnsi="Calibri" w:cs="Calibri"/>
                <w:color w:val="000000"/>
                <w:sz w:val="18"/>
                <w:lang w:eastAsia="fr-FR"/>
              </w:rPr>
            </w:pPr>
            <w:r w:rsidRPr="0025042F">
              <w:rPr>
                <w:rFonts w:ascii="Calibri" w:eastAsia="Times New Roman" w:hAnsi="Calibri" w:cs="Calibri"/>
                <w:color w:val="000000"/>
                <w:sz w:val="18"/>
                <w:lang w:eastAsia="fr-FR"/>
              </w:rPr>
              <w:t>Entreprises publiques</w:t>
            </w:r>
          </w:p>
        </w:tc>
        <w:tc>
          <w:tcPr>
            <w:tcW w:w="1276" w:type="dxa"/>
            <w:tcBorders>
              <w:top w:val="nil"/>
              <w:left w:val="nil"/>
              <w:bottom w:val="single" w:sz="4" w:space="0" w:color="auto"/>
              <w:right w:val="single" w:sz="4" w:space="0" w:color="auto"/>
            </w:tcBorders>
            <w:noWrap/>
            <w:vAlign w:val="center"/>
            <w:hideMark/>
          </w:tcPr>
          <w:p w14:paraId="0D5051FE" w14:textId="77777777" w:rsidR="00E00EAD" w:rsidRPr="0025042F" w:rsidRDefault="00E00EAD" w:rsidP="004616B2">
            <w:pPr>
              <w:spacing w:before="0" w:after="60"/>
              <w:jc w:val="center"/>
              <w:rPr>
                <w:rFonts w:ascii="Calibri" w:eastAsia="Times New Roman" w:hAnsi="Calibri" w:cs="Calibri"/>
                <w:color w:val="000000"/>
                <w:sz w:val="18"/>
                <w:lang w:eastAsia="fr-FR"/>
              </w:rPr>
            </w:pPr>
            <w:r w:rsidRPr="0025042F">
              <w:rPr>
                <w:rFonts w:ascii="Calibri" w:eastAsia="Times New Roman" w:hAnsi="Calibri" w:cs="Calibri"/>
                <w:color w:val="000000"/>
                <w:sz w:val="18"/>
                <w:lang w:eastAsia="fr-FR"/>
              </w:rPr>
              <w:t>60 jours</w:t>
            </w:r>
          </w:p>
        </w:tc>
      </w:tr>
    </w:tbl>
    <w:p w14:paraId="36183406" w14:textId="11AE0C63" w:rsidR="00E00EAD" w:rsidRDefault="00065757" w:rsidP="00D5769B">
      <w:pPr>
        <w:tabs>
          <w:tab w:val="left" w:pos="426"/>
        </w:tabs>
        <w:spacing w:before="240" w:after="120"/>
        <w:jc w:val="both"/>
      </w:pPr>
      <w:r w:rsidRPr="007B0CBB">
        <w:rPr>
          <w:noProof/>
          <w:lang w:eastAsia="fr-FR"/>
        </w:rPr>
        <w:drawing>
          <wp:anchor distT="0" distB="0" distL="114300" distR="114300" simplePos="0" relativeHeight="251815936" behindDoc="1" locked="0" layoutInCell="1" allowOverlap="1" wp14:anchorId="52477B08" wp14:editId="0E0E9C1D">
            <wp:simplePos x="0" y="0"/>
            <wp:positionH relativeFrom="margin">
              <wp:align>left</wp:align>
            </wp:positionH>
            <wp:positionV relativeFrom="paragraph">
              <wp:posOffset>165625</wp:posOffset>
            </wp:positionV>
            <wp:extent cx="381635" cy="381635"/>
            <wp:effectExtent l="0" t="0" r="0" b="0"/>
            <wp:wrapTight wrapText="bothSides">
              <wp:wrapPolygon edited="0">
                <wp:start x="4313" y="0"/>
                <wp:lineTo x="0" y="4313"/>
                <wp:lineTo x="0" y="16173"/>
                <wp:lineTo x="3235" y="20486"/>
                <wp:lineTo x="16173" y="20486"/>
                <wp:lineTo x="20486" y="18329"/>
                <wp:lineTo x="20486" y="6469"/>
                <wp:lineTo x="19408" y="0"/>
                <wp:lineTo x="4313" y="0"/>
              </wp:wrapPolygon>
            </wp:wrapTight>
            <wp:docPr id="71" name="Image 71" descr="K:\1ESD\1C\COMMUN1C\11. Innovation\GT guide achats innovants\Projet de guide\Icônes\time-le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1ESD\1C\COMMUN1C\11. Innovation\GT guide achats innovants\Projet de guide\Icônes\time-left.png"/>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2458">
        <w:t xml:space="preserve">A contrario de l’usage dans le secteur privé, le délai de paiement ne court pas à l’émission de la facture par le titulaire du marché ou son sous-traitant admis à paiement direct. </w:t>
      </w:r>
      <w:r w:rsidR="00E00EAD" w:rsidRPr="007B2681">
        <w:t xml:space="preserve">L’indicateur </w:t>
      </w:r>
      <w:r w:rsidR="00632458">
        <w:t xml:space="preserve">de calcul </w:t>
      </w:r>
      <w:r w:rsidR="00E00EAD" w:rsidRPr="007B2681">
        <w:t>retenu</w:t>
      </w:r>
      <w:r w:rsidR="00632458">
        <w:t xml:space="preserve"> dans le secteur public</w:t>
      </w:r>
      <w:r w:rsidR="00E00EAD" w:rsidRPr="007B2681">
        <w:t xml:space="preserve"> est le délai global de paiement (DGP), qui mesure le </w:t>
      </w:r>
      <w:r w:rsidR="00E00EAD" w:rsidRPr="007B2681">
        <w:rPr>
          <w:b/>
        </w:rPr>
        <w:t>délai entre la date de réception de la facture</w:t>
      </w:r>
      <w:r w:rsidR="00E00EAD" w:rsidRPr="007B2681">
        <w:t xml:space="preserve"> par les services administratifs (ou la date d'exécution des prestations si elle est postérieure</w:t>
      </w:r>
      <w:r w:rsidR="00632458">
        <w:t>)</w:t>
      </w:r>
      <w:r w:rsidR="00FA7F02">
        <w:rPr>
          <w:rStyle w:val="Appelnotedebasdep"/>
        </w:rPr>
        <w:t xml:space="preserve"> </w:t>
      </w:r>
      <w:r w:rsidR="00E00EAD" w:rsidRPr="007B2681">
        <w:rPr>
          <w:b/>
        </w:rPr>
        <w:t>et la date de sa mise en paiement</w:t>
      </w:r>
      <w:r w:rsidR="00E00EAD" w:rsidRPr="007B2681">
        <w:t xml:space="preserve"> par le comptable. </w:t>
      </w:r>
    </w:p>
    <w:p w14:paraId="30FC2D6C" w14:textId="032B53D1" w:rsidR="00C44CC4" w:rsidRDefault="00C44CC4" w:rsidP="004616B2">
      <w:pPr>
        <w:tabs>
          <w:tab w:val="left" w:pos="426"/>
        </w:tabs>
        <w:spacing w:before="120" w:after="60"/>
        <w:jc w:val="both"/>
      </w:pPr>
      <w:r>
        <w:t xml:space="preserve">L’exécution des prestations doit en outre donner lieu à la </w:t>
      </w:r>
      <w:r w:rsidR="0043691A">
        <w:t xml:space="preserve">constatation et à la </w:t>
      </w:r>
      <w:r>
        <w:t xml:space="preserve">certification du </w:t>
      </w:r>
      <w:r w:rsidRPr="00FA7F02">
        <w:rPr>
          <w:b/>
        </w:rPr>
        <w:t>service fait</w:t>
      </w:r>
      <w:r>
        <w:t xml:space="preserve"> </w:t>
      </w:r>
      <w:r w:rsidR="0043691A">
        <w:t xml:space="preserve">par les services opérationnels et par l’ordonnateur de la dépense. Cette étape permet de s’assurer que la prestation a bien été réalisée conformément aux prescriptions du contrat (en termes de délais, qualité, quantité, etc.). </w:t>
      </w:r>
    </w:p>
    <w:p w14:paraId="58A2F2D0" w14:textId="4D06DE42" w:rsidR="0015554F" w:rsidRDefault="004616B2" w:rsidP="00C44CC4">
      <w:pPr>
        <w:tabs>
          <w:tab w:val="left" w:pos="426"/>
        </w:tabs>
        <w:spacing w:before="120" w:after="120"/>
        <w:jc w:val="center"/>
      </w:pPr>
      <w:r>
        <w:rPr>
          <w:noProof/>
          <w:lang w:eastAsia="fr-FR"/>
        </w:rPr>
        <w:drawing>
          <wp:inline distT="0" distB="0" distL="0" distR="0" wp14:anchorId="4D1DF33A" wp14:editId="7C6A116F">
            <wp:extent cx="4660530" cy="1248354"/>
            <wp:effectExtent l="0" t="0" r="6985" b="952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675340" cy="1252321"/>
                    </a:xfrm>
                    <a:prstGeom prst="rect">
                      <a:avLst/>
                    </a:prstGeom>
                    <a:noFill/>
                  </pic:spPr>
                </pic:pic>
              </a:graphicData>
            </a:graphic>
          </wp:inline>
        </w:drawing>
      </w:r>
    </w:p>
    <w:p w14:paraId="2372596B" w14:textId="77777777" w:rsidR="003538C9" w:rsidRDefault="00C65C9D" w:rsidP="00C87756">
      <w:pPr>
        <w:tabs>
          <w:tab w:val="left" w:pos="428"/>
        </w:tabs>
        <w:spacing w:before="180" w:after="120"/>
        <w:jc w:val="both"/>
      </w:pPr>
      <w:r>
        <w:t>Ce schéma</w:t>
      </w:r>
      <w:r w:rsidR="00B23E41">
        <w:t xml:space="preserve"> </w:t>
      </w:r>
      <w:r>
        <w:t>peut être allongé par l’ajout d’un tiers dans le processus, à savoir le maitre d’œuvre</w:t>
      </w:r>
      <w:r w:rsidR="00C87756">
        <w:t xml:space="preserve"> pour les marchés </w:t>
      </w:r>
      <w:r>
        <w:t xml:space="preserve">de travaux </w:t>
      </w:r>
      <w:r w:rsidR="00C44CC4">
        <w:t xml:space="preserve">(cf. point développé </w:t>
      </w:r>
      <w:r w:rsidR="00C44CC4" w:rsidRPr="00C44CC4">
        <w:rPr>
          <w:i/>
        </w:rPr>
        <w:t>infra</w:t>
      </w:r>
      <w:r w:rsidR="00C44CC4">
        <w:t>).</w:t>
      </w:r>
      <w:r w:rsidR="00B23E41">
        <w:t xml:space="preserve"> </w:t>
      </w:r>
    </w:p>
    <w:p w14:paraId="72828E76" w14:textId="77777777" w:rsidR="00F21EFA" w:rsidRDefault="00D5769B" w:rsidP="00D5769B">
      <w:pPr>
        <w:tabs>
          <w:tab w:val="left" w:pos="426"/>
        </w:tabs>
        <w:spacing w:before="120" w:after="0"/>
        <w:jc w:val="both"/>
      </w:pPr>
      <w:r>
        <w:lastRenderedPageBreak/>
        <w:t>D’après les statistiques publiées par l’Observatoire des délais de paiement, les délais de l'État et des collectivités ont fortement diminué ces dernières années et s’établissent – en moyenne – en deçà du seuil réglementaire</w:t>
      </w:r>
      <w:r>
        <w:rPr>
          <w:rStyle w:val="Appelnotedebasdep"/>
        </w:rPr>
        <w:footnoteReference w:id="48"/>
      </w:r>
      <w:r>
        <w:t xml:space="preserve">. </w:t>
      </w:r>
    </w:p>
    <w:p w14:paraId="2E9F9D48" w14:textId="062C0B65" w:rsidR="00D5769B" w:rsidRDefault="00D5769B" w:rsidP="00D5769B">
      <w:pPr>
        <w:tabs>
          <w:tab w:val="left" w:pos="426"/>
        </w:tabs>
        <w:spacing w:before="120" w:after="0"/>
        <w:jc w:val="both"/>
      </w:pPr>
      <w:r>
        <w:t xml:space="preserve">Ces résultats s’inscrivent dans un contexte de modernisation et de réorganisation de la dépense, </w:t>
      </w:r>
      <w:r w:rsidR="008846D6">
        <w:t xml:space="preserve">notamment </w:t>
      </w:r>
      <w:r>
        <w:t xml:space="preserve">grâce à la </w:t>
      </w:r>
      <w:r w:rsidRPr="0025042F">
        <w:rPr>
          <w:b/>
        </w:rPr>
        <w:t>dématérialisation des factures</w:t>
      </w:r>
      <w:r>
        <w:rPr>
          <w:b/>
        </w:rPr>
        <w:t xml:space="preserve">, </w:t>
      </w:r>
      <w:r w:rsidRPr="0025042F">
        <w:t>qui impose</w:t>
      </w:r>
      <w:r>
        <w:t> :</w:t>
      </w:r>
    </w:p>
    <w:p w14:paraId="3C6196AB" w14:textId="77777777" w:rsidR="00D5769B" w:rsidRDefault="00D5769B" w:rsidP="00D5769B">
      <w:pPr>
        <w:pStyle w:val="Paragraphedeliste"/>
        <w:numPr>
          <w:ilvl w:val="0"/>
          <w:numId w:val="26"/>
        </w:numPr>
        <w:tabs>
          <w:tab w:val="left" w:pos="426"/>
        </w:tabs>
        <w:spacing w:before="40" w:after="120"/>
        <w:jc w:val="both"/>
      </w:pPr>
      <w:r w:rsidRPr="00FA7F02">
        <w:t>aux titulaires de marchés publics conclus avec l’Etat, les collectivités territoriales et les établissements publics d’envoyer les factures par voie électronique (sauf les TPE, pour qui l’obligation se</w:t>
      </w:r>
      <w:r>
        <w:t>ra applicable à partir de 2020) ;</w:t>
      </w:r>
    </w:p>
    <w:p w14:paraId="06DDEADA" w14:textId="0C92AAA8" w:rsidR="00D5769B" w:rsidRDefault="00D5769B" w:rsidP="00D5769B">
      <w:pPr>
        <w:pStyle w:val="Paragraphedeliste"/>
        <w:numPr>
          <w:ilvl w:val="0"/>
          <w:numId w:val="26"/>
        </w:numPr>
        <w:tabs>
          <w:tab w:val="left" w:pos="426"/>
        </w:tabs>
        <w:spacing w:before="60" w:after="0"/>
        <w:jc w:val="both"/>
      </w:pPr>
      <w:r w:rsidRPr="00BC51B2">
        <w:t>aux acheteurs de l’Etat, des collectivités territoriales et des établis</w:t>
      </w:r>
      <w:r>
        <w:t>sements publics de recevoir l</w:t>
      </w:r>
      <w:r w:rsidRPr="00BC51B2">
        <w:t>es factures</w:t>
      </w:r>
      <w:r w:rsidR="00AD0084">
        <w:t xml:space="preserve"> par</w:t>
      </w:r>
      <w:r w:rsidRPr="00BC51B2">
        <w:t xml:space="preserve"> voie électronique.</w:t>
      </w:r>
    </w:p>
    <w:p w14:paraId="0A8760AD" w14:textId="77777777" w:rsidR="00D5769B" w:rsidRDefault="00D5769B" w:rsidP="00D5769B">
      <w:pPr>
        <w:tabs>
          <w:tab w:val="left" w:pos="426"/>
        </w:tabs>
        <w:spacing w:before="60" w:after="120"/>
        <w:jc w:val="both"/>
      </w:pPr>
      <w:r>
        <w:t xml:space="preserve">Les fournisseurs peuvent suivre en ligne le traitement de leurs factures dématérialisées sur </w:t>
      </w:r>
      <w:hyperlink r:id="rId76" w:history="1">
        <w:r w:rsidRPr="00342D25">
          <w:rPr>
            <w:rStyle w:val="Lienhypertexte"/>
          </w:rPr>
          <w:t>CHORUS Pro</w:t>
        </w:r>
      </w:hyperlink>
      <w:r>
        <w:t xml:space="preserve">. </w:t>
      </w:r>
    </w:p>
    <w:p w14:paraId="52D766E2" w14:textId="23138940" w:rsidR="00C65C9D" w:rsidRDefault="00D5769B" w:rsidP="003538C9">
      <w:pPr>
        <w:tabs>
          <w:tab w:val="left" w:pos="428"/>
        </w:tabs>
        <w:spacing w:before="120" w:after="120"/>
        <w:jc w:val="both"/>
      </w:pPr>
      <w:r>
        <w:t>On constate cependant que l</w:t>
      </w:r>
      <w:r w:rsidR="002944B6">
        <w:t xml:space="preserve">a </w:t>
      </w:r>
      <w:r w:rsidR="002944B6" w:rsidRPr="00D5769B">
        <w:rPr>
          <w:b/>
        </w:rPr>
        <w:t>perception des délais</w:t>
      </w:r>
      <w:r w:rsidR="002944B6">
        <w:t xml:space="preserve"> de paiements du secteur public par les opérateurs économiques</w:t>
      </w:r>
      <w:r>
        <w:t xml:space="preserve"> reste </w:t>
      </w:r>
      <w:r w:rsidRPr="00D5769B">
        <w:rPr>
          <w:b/>
        </w:rPr>
        <w:t>mitigée</w:t>
      </w:r>
      <w:r w:rsidR="002944B6">
        <w:t xml:space="preserve">. </w:t>
      </w:r>
      <w:r>
        <w:t>Cela peut s’expliquer par la persistance de difficultés sectorielles de paiement (établissements publics de santé, certaines catégories de collectivités, etc.) ou par l</w:t>
      </w:r>
      <w:r w:rsidR="002944B6" w:rsidRPr="002944B6">
        <w:t xml:space="preserve">’existence de délais cachés, liés par exemple au </w:t>
      </w:r>
      <w:r>
        <w:t>« </w:t>
      </w:r>
      <w:r w:rsidR="002944B6" w:rsidRPr="002944B6">
        <w:t>rejet</w:t>
      </w:r>
      <w:r>
        <w:t> »</w:t>
      </w:r>
      <w:r w:rsidR="002944B6" w:rsidRPr="002944B6">
        <w:t xml:space="preserve"> des factures, bien que </w:t>
      </w:r>
      <w:r>
        <w:t xml:space="preserve">cette pratique soit </w:t>
      </w:r>
      <w:r w:rsidR="002944B6" w:rsidRPr="002944B6">
        <w:t>difficile à caractériser de par sa nature.</w:t>
      </w:r>
    </w:p>
    <w:p w14:paraId="7DD0BD68" w14:textId="730FBE9D" w:rsidR="0015554F" w:rsidRDefault="00DF4DEF" w:rsidP="00D07767">
      <w:pPr>
        <w:tabs>
          <w:tab w:val="left" w:pos="428"/>
        </w:tabs>
        <w:spacing w:before="120" w:after="60"/>
        <w:jc w:val="both"/>
      </w:pPr>
      <w:r w:rsidRPr="00132C03">
        <w:t>Il convient de rappeler que l</w:t>
      </w:r>
      <w:r w:rsidR="00E00EAD" w:rsidRPr="00132C03">
        <w:t xml:space="preserve">e </w:t>
      </w:r>
      <w:r w:rsidR="00E00EAD" w:rsidRPr="008E6EED">
        <w:rPr>
          <w:b/>
        </w:rPr>
        <w:t xml:space="preserve">délai de paiement </w:t>
      </w:r>
      <w:r w:rsidR="00E00EAD" w:rsidRPr="008E6EED">
        <w:t>peut être</w:t>
      </w:r>
      <w:r w:rsidR="00E00EAD" w:rsidRPr="008E6EED">
        <w:rPr>
          <w:b/>
        </w:rPr>
        <w:t xml:space="preserve"> suspendu</w:t>
      </w:r>
      <w:r w:rsidR="00E00EAD" w:rsidRPr="00132C03">
        <w:t xml:space="preserve"> une fois si le pouvoir adjudicateur constate que la demande de paiement du créancier ne comporte pas l'ensemble des pièces et des mentions prévues par la loi ou par le contrat ou que celles-ci sont erronées ou incohérentes</w:t>
      </w:r>
      <w:r w:rsidR="00132C03" w:rsidRPr="00132C03">
        <w:rPr>
          <w:rStyle w:val="Appelnotedebasdep"/>
        </w:rPr>
        <w:footnoteReference w:id="49"/>
      </w:r>
      <w:r w:rsidR="00E00EAD" w:rsidRPr="00132C03">
        <w:t xml:space="preserve">. </w:t>
      </w:r>
      <w:r w:rsidR="008E6EED">
        <w:t xml:space="preserve">Cette suspension fait l’objet d’une notification au </w:t>
      </w:r>
      <w:r w:rsidR="00BE5932">
        <w:t>fournisseur</w:t>
      </w:r>
      <w:r w:rsidR="008E6EED">
        <w:t xml:space="preserve">. </w:t>
      </w:r>
      <w:r w:rsidR="00E00EAD" w:rsidRPr="00132C03">
        <w:t>A compter de la réception des éléments demandés, un nouveau délai de paiement est ouvert.</w:t>
      </w:r>
      <w:r w:rsidR="00E00EAD" w:rsidRPr="00BF4414">
        <w:t xml:space="preserve"> </w:t>
      </w:r>
    </w:p>
    <w:p w14:paraId="6F15DC61" w14:textId="1A17F8CF" w:rsidR="00D07767" w:rsidRDefault="00D07767" w:rsidP="00D07767">
      <w:pPr>
        <w:tabs>
          <w:tab w:val="left" w:pos="428"/>
        </w:tabs>
        <w:spacing w:before="60" w:after="120"/>
        <w:jc w:val="both"/>
      </w:pPr>
      <w:r>
        <w:t xml:space="preserve">Cette faculté de suspension s’explique par la nécessité de certifier le service fait, qui peut requérir la présentation de documents </w:t>
      </w:r>
      <w:r w:rsidR="008A4B18">
        <w:t>à l’appui de la facture</w:t>
      </w:r>
      <w:r>
        <w:t xml:space="preserve"> (ex : bons de livraison…), ou bien la mise en paiement, qui requiert des factures </w:t>
      </w:r>
      <w:r w:rsidR="00BD39C3">
        <w:t xml:space="preserve">électroniques </w:t>
      </w:r>
      <w:r>
        <w:t>établies conformément à la réglementation en vigueur.</w:t>
      </w:r>
    </w:p>
    <w:p w14:paraId="46ADFA8A" w14:textId="2C1B7568" w:rsidR="00C65C9D" w:rsidRPr="00B966D7" w:rsidRDefault="0015554F" w:rsidP="007C6094">
      <w:pPr>
        <w:tabs>
          <w:tab w:val="left" w:pos="428"/>
        </w:tabs>
        <w:spacing w:before="120" w:after="60"/>
        <w:jc w:val="both"/>
        <w:rPr>
          <w:b/>
          <w:bCs/>
        </w:rPr>
      </w:pPr>
      <w:r w:rsidRPr="00B966D7">
        <w:rPr>
          <w:color w:val="00B050"/>
        </w:rPr>
        <w:t>R</w:t>
      </w:r>
      <w:r w:rsidR="00071235" w:rsidRPr="00B966D7">
        <w:rPr>
          <w:color w:val="00B050"/>
        </w:rPr>
        <w:t xml:space="preserve">appel des </w:t>
      </w:r>
      <w:r w:rsidR="00071235" w:rsidRPr="00B966D7">
        <w:rPr>
          <w:bCs/>
          <w:color w:val="00B050"/>
        </w:rPr>
        <w:t>éléments</w:t>
      </w:r>
      <w:r w:rsidR="00071235" w:rsidRPr="00B966D7">
        <w:rPr>
          <w:color w:val="00B050"/>
        </w:rPr>
        <w:t xml:space="preserve"> qui doivent être </w:t>
      </w:r>
      <w:r w:rsidR="00071235" w:rsidRPr="00B966D7">
        <w:rPr>
          <w:bCs/>
          <w:color w:val="00B050"/>
        </w:rPr>
        <w:t>contenus</w:t>
      </w:r>
      <w:r w:rsidR="00132C03" w:rsidRPr="00B966D7">
        <w:rPr>
          <w:bCs/>
          <w:color w:val="00B050"/>
        </w:rPr>
        <w:t xml:space="preserve"> obligatoirement contenus</w:t>
      </w:r>
      <w:r w:rsidR="00071235" w:rsidRPr="00B966D7">
        <w:rPr>
          <w:bCs/>
          <w:color w:val="00B050"/>
        </w:rPr>
        <w:t xml:space="preserve"> dans une facture</w:t>
      </w:r>
      <w:r w:rsidRPr="00B966D7">
        <w:rPr>
          <w:b/>
          <w:bCs/>
          <w:color w:val="00B050"/>
        </w:rPr>
        <w:t xml:space="preserve"> : </w:t>
      </w:r>
    </w:p>
    <w:p w14:paraId="65D4D7CD" w14:textId="2739D46B" w:rsidR="00C65C9D" w:rsidRPr="00B966D7" w:rsidRDefault="00C65C9D" w:rsidP="007C6094">
      <w:pPr>
        <w:pStyle w:val="Paragraphedeliste"/>
        <w:numPr>
          <w:ilvl w:val="0"/>
          <w:numId w:val="41"/>
        </w:numPr>
        <w:tabs>
          <w:tab w:val="left" w:pos="428"/>
        </w:tabs>
        <w:spacing w:before="60" w:after="120"/>
        <w:jc w:val="both"/>
        <w:rPr>
          <w:b/>
          <w:bCs/>
        </w:rPr>
      </w:pPr>
      <w:r w:rsidRPr="00B966D7">
        <w:t xml:space="preserve">la date d’émission ; </w:t>
      </w:r>
    </w:p>
    <w:p w14:paraId="73E34B8A" w14:textId="651B4872" w:rsidR="00C65C9D" w:rsidRPr="00B966D7" w:rsidRDefault="00C65C9D" w:rsidP="00C65C9D">
      <w:pPr>
        <w:pStyle w:val="Paragraphedeliste"/>
        <w:numPr>
          <w:ilvl w:val="0"/>
          <w:numId w:val="41"/>
        </w:numPr>
        <w:tabs>
          <w:tab w:val="left" w:pos="428"/>
        </w:tabs>
        <w:spacing w:before="120" w:after="120"/>
        <w:jc w:val="both"/>
        <w:rPr>
          <w:b/>
          <w:bCs/>
        </w:rPr>
      </w:pPr>
      <w:r w:rsidRPr="00B966D7">
        <w:t xml:space="preserve">la désignation de l’émetteur et du destinataire ; </w:t>
      </w:r>
    </w:p>
    <w:p w14:paraId="53337DDA" w14:textId="43CA5B60" w:rsidR="00C65C9D" w:rsidRPr="00B966D7" w:rsidRDefault="00C65C9D" w:rsidP="00C65C9D">
      <w:pPr>
        <w:pStyle w:val="Paragraphedeliste"/>
        <w:numPr>
          <w:ilvl w:val="0"/>
          <w:numId w:val="41"/>
        </w:numPr>
        <w:tabs>
          <w:tab w:val="left" w:pos="428"/>
        </w:tabs>
        <w:spacing w:before="120" w:after="120"/>
        <w:jc w:val="both"/>
        <w:rPr>
          <w:b/>
          <w:bCs/>
        </w:rPr>
      </w:pPr>
      <w:r w:rsidRPr="00B966D7">
        <w:t>le numéro unique basé sur une séquence chronologique et continue établie par l’émetteur de la facture ;</w:t>
      </w:r>
    </w:p>
    <w:p w14:paraId="10BA2E92" w14:textId="567341C0" w:rsidR="00C65C9D" w:rsidRPr="00B966D7" w:rsidRDefault="00C65C9D" w:rsidP="00C65C9D">
      <w:pPr>
        <w:pStyle w:val="Paragraphedeliste"/>
        <w:numPr>
          <w:ilvl w:val="0"/>
          <w:numId w:val="41"/>
        </w:numPr>
        <w:tabs>
          <w:tab w:val="left" w:pos="428"/>
        </w:tabs>
        <w:spacing w:before="120" w:after="120"/>
        <w:jc w:val="both"/>
        <w:rPr>
          <w:b/>
          <w:bCs/>
        </w:rPr>
      </w:pPr>
      <w:r w:rsidRPr="00B966D7">
        <w:t>en cas de contrat exécuté au moyen de bons de commande, le numéro du bon de commande ou, dans les autres cas, le numéro de l’engagement généré par le système d’information financière et comptable</w:t>
      </w:r>
      <w:r w:rsidR="003C45A8" w:rsidRPr="00B966D7">
        <w:t> ;</w:t>
      </w:r>
      <w:r w:rsidRPr="00B966D7">
        <w:t xml:space="preserve"> </w:t>
      </w:r>
    </w:p>
    <w:p w14:paraId="0C4A8726" w14:textId="048F4B70" w:rsidR="00C65C9D" w:rsidRPr="00B966D7" w:rsidRDefault="00C65C9D" w:rsidP="00C65C9D">
      <w:pPr>
        <w:pStyle w:val="Paragraphedeliste"/>
        <w:numPr>
          <w:ilvl w:val="0"/>
          <w:numId w:val="41"/>
        </w:numPr>
        <w:tabs>
          <w:tab w:val="left" w:pos="428"/>
        </w:tabs>
        <w:spacing w:before="120" w:after="120"/>
        <w:jc w:val="both"/>
        <w:rPr>
          <w:b/>
          <w:bCs/>
        </w:rPr>
      </w:pPr>
      <w:r w:rsidRPr="00B966D7">
        <w:t xml:space="preserve">le code d’identification du service en charge du paiement ; </w:t>
      </w:r>
    </w:p>
    <w:p w14:paraId="0E41FF17" w14:textId="084DC595" w:rsidR="00C65C9D" w:rsidRPr="00B966D7" w:rsidRDefault="00C65C9D" w:rsidP="00C65C9D">
      <w:pPr>
        <w:pStyle w:val="Paragraphedeliste"/>
        <w:numPr>
          <w:ilvl w:val="0"/>
          <w:numId w:val="41"/>
        </w:numPr>
        <w:tabs>
          <w:tab w:val="left" w:pos="428"/>
        </w:tabs>
        <w:spacing w:before="120" w:after="120"/>
        <w:jc w:val="both"/>
        <w:rPr>
          <w:b/>
          <w:bCs/>
        </w:rPr>
      </w:pPr>
      <w:r w:rsidRPr="00B966D7">
        <w:t xml:space="preserve">la date de livraison des fournitures ou d’exécution des services ou des travaux ; </w:t>
      </w:r>
    </w:p>
    <w:p w14:paraId="06854661" w14:textId="2AA199F4" w:rsidR="00C65C9D" w:rsidRPr="00B966D7" w:rsidRDefault="00C65C9D" w:rsidP="00C65C9D">
      <w:pPr>
        <w:pStyle w:val="Paragraphedeliste"/>
        <w:numPr>
          <w:ilvl w:val="0"/>
          <w:numId w:val="41"/>
        </w:numPr>
        <w:tabs>
          <w:tab w:val="left" w:pos="428"/>
        </w:tabs>
        <w:spacing w:before="120" w:after="120"/>
        <w:jc w:val="both"/>
        <w:rPr>
          <w:b/>
          <w:bCs/>
        </w:rPr>
      </w:pPr>
      <w:r w:rsidRPr="00B966D7">
        <w:t xml:space="preserve">la quantité et la dénomination précise des produits livrés, des prestations et travaux réalisés ; </w:t>
      </w:r>
    </w:p>
    <w:p w14:paraId="7428B522" w14:textId="4BD2DA34" w:rsidR="00C65C9D" w:rsidRPr="00B966D7" w:rsidRDefault="00C65C9D" w:rsidP="00C65C9D">
      <w:pPr>
        <w:pStyle w:val="Paragraphedeliste"/>
        <w:numPr>
          <w:ilvl w:val="0"/>
          <w:numId w:val="41"/>
        </w:numPr>
        <w:tabs>
          <w:tab w:val="left" w:pos="428"/>
        </w:tabs>
        <w:spacing w:before="120" w:after="120"/>
        <w:jc w:val="both"/>
        <w:rPr>
          <w:b/>
          <w:bCs/>
        </w:rPr>
      </w:pPr>
      <w:r w:rsidRPr="00B966D7">
        <w:t xml:space="preserve">le prix unitaire </w:t>
      </w:r>
      <w:r w:rsidR="003C45A8" w:rsidRPr="00B966D7">
        <w:t>HT</w:t>
      </w:r>
      <w:r w:rsidRPr="00B966D7">
        <w:t xml:space="preserve"> des produits livrés, des prestations et travaux réalisés ou, lorsqu’il y a lieu, leur prix forfaitaire ; </w:t>
      </w:r>
    </w:p>
    <w:p w14:paraId="282FC87B" w14:textId="35B29E53" w:rsidR="00C65C9D" w:rsidRPr="00B966D7" w:rsidRDefault="00C65C9D" w:rsidP="00C65C9D">
      <w:pPr>
        <w:pStyle w:val="Paragraphedeliste"/>
        <w:numPr>
          <w:ilvl w:val="0"/>
          <w:numId w:val="41"/>
        </w:numPr>
        <w:tabs>
          <w:tab w:val="left" w:pos="428"/>
        </w:tabs>
        <w:spacing w:before="120" w:after="120"/>
        <w:jc w:val="both"/>
        <w:rPr>
          <w:b/>
          <w:bCs/>
        </w:rPr>
      </w:pPr>
      <w:r w:rsidRPr="00B966D7">
        <w:t xml:space="preserve">le montant total </w:t>
      </w:r>
      <w:r w:rsidR="003C45A8" w:rsidRPr="00B966D7">
        <w:t xml:space="preserve">HT </w:t>
      </w:r>
      <w:r w:rsidRPr="00B966D7">
        <w:t xml:space="preserve">et le montant de la taxe à payer, ainsi que la répartition de ces montants par taux de taxe sur la valeur ajoutée, ou, le cas échéant, le bénéfice d’une exonération; </w:t>
      </w:r>
    </w:p>
    <w:p w14:paraId="437AB045" w14:textId="77777777" w:rsidR="00C65C9D" w:rsidRPr="00B966D7" w:rsidRDefault="00C65C9D" w:rsidP="00C65C9D">
      <w:pPr>
        <w:pStyle w:val="Paragraphedeliste"/>
        <w:numPr>
          <w:ilvl w:val="0"/>
          <w:numId w:val="41"/>
        </w:numPr>
        <w:tabs>
          <w:tab w:val="left" w:pos="428"/>
        </w:tabs>
        <w:spacing w:before="120" w:after="120"/>
        <w:jc w:val="both"/>
        <w:rPr>
          <w:b/>
          <w:bCs/>
        </w:rPr>
      </w:pPr>
      <w:r w:rsidRPr="00B966D7">
        <w:t xml:space="preserve">le cas échéant, les modalités particulières de règlement; </w:t>
      </w:r>
    </w:p>
    <w:p w14:paraId="5FF50536" w14:textId="1ABD1C9D" w:rsidR="00C65C9D" w:rsidRPr="00B966D7" w:rsidRDefault="00C65C9D" w:rsidP="00C65C9D">
      <w:pPr>
        <w:pStyle w:val="Paragraphedeliste"/>
        <w:numPr>
          <w:ilvl w:val="0"/>
          <w:numId w:val="41"/>
        </w:numPr>
        <w:tabs>
          <w:tab w:val="left" w:pos="428"/>
        </w:tabs>
        <w:spacing w:before="0" w:after="240"/>
        <w:jc w:val="both"/>
        <w:rPr>
          <w:b/>
          <w:bCs/>
        </w:rPr>
      </w:pPr>
      <w:r w:rsidRPr="00B966D7">
        <w:t>le cas échéant, les renseignements relatifs aux déductions ou versements complémentaires.</w:t>
      </w:r>
    </w:p>
    <w:p w14:paraId="169D4C80" w14:textId="77777777" w:rsidR="00B966D7" w:rsidRDefault="00B966D7">
      <w:pPr>
        <w:rPr>
          <w:caps/>
          <w:color w:val="1F4D78" w:themeColor="accent1" w:themeShade="7F"/>
          <w:spacing w:val="15"/>
        </w:rPr>
      </w:pPr>
      <w:r>
        <w:br w:type="page"/>
      </w:r>
    </w:p>
    <w:p w14:paraId="5E54A921" w14:textId="198ECEB9" w:rsidR="0029200B" w:rsidRDefault="00D248C3" w:rsidP="0029200B">
      <w:pPr>
        <w:pStyle w:val="Titre3"/>
        <w:spacing w:after="120"/>
      </w:pPr>
      <w:bookmarkStart w:id="40" w:name="_Toc7425944"/>
      <w:r>
        <w:lastRenderedPageBreak/>
        <w:t>R</w:t>
      </w:r>
      <w:r w:rsidR="0029200B">
        <w:t>ôle du maitre d’œuvre dans le processus</w:t>
      </w:r>
      <w:r w:rsidR="003E49C5">
        <w:t xml:space="preserve"> de pa</w:t>
      </w:r>
      <w:r w:rsidR="00054DB5">
        <w:t>ie</w:t>
      </w:r>
      <w:r w:rsidR="003E49C5">
        <w:t>ment</w:t>
      </w:r>
      <w:bookmarkEnd w:id="40"/>
    </w:p>
    <w:p w14:paraId="6665EDA2" w14:textId="04307F4F" w:rsidR="003E49C5" w:rsidRDefault="004D0019" w:rsidP="0029200B">
      <w:pPr>
        <w:spacing w:before="0" w:after="120"/>
        <w:jc w:val="both"/>
      </w:pPr>
      <w:r w:rsidRPr="003E49C5">
        <w:rPr>
          <w:noProof/>
          <w:lang w:eastAsia="fr-FR"/>
        </w:rPr>
        <w:drawing>
          <wp:anchor distT="0" distB="0" distL="114300" distR="114300" simplePos="0" relativeHeight="251812864" behindDoc="0" locked="0" layoutInCell="1" allowOverlap="1" wp14:anchorId="10F1F6F3" wp14:editId="62F3D858">
            <wp:simplePos x="0" y="0"/>
            <wp:positionH relativeFrom="margin">
              <wp:align>right</wp:align>
            </wp:positionH>
            <wp:positionV relativeFrom="paragraph">
              <wp:posOffset>4445</wp:posOffset>
            </wp:positionV>
            <wp:extent cx="393700" cy="357505"/>
            <wp:effectExtent l="0" t="0" r="6350" b="4445"/>
            <wp:wrapSquare wrapText="bothSides"/>
            <wp:docPr id="57" name="Image 57" descr="K:\1ESD\1C\COMMUN1C\06. OECP\3 - GT OECP\GT_acces-TPE-PME\Projet de guide\Icônes et schémas\gro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1ESD\1C\COMMUN1C\06. OECP\3 - GT OECP\GT_acces-TPE-PME\Projet de guide\Icônes et schémas\group.png"/>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93700" cy="357505"/>
                    </a:xfrm>
                    <a:prstGeom prst="rect">
                      <a:avLst/>
                    </a:prstGeom>
                    <a:noFill/>
                    <a:ln>
                      <a:noFill/>
                    </a:ln>
                  </pic:spPr>
                </pic:pic>
              </a:graphicData>
            </a:graphic>
            <wp14:sizeRelH relativeFrom="page">
              <wp14:pctWidth>0</wp14:pctWidth>
            </wp14:sizeRelH>
            <wp14:sizeRelV relativeFrom="page">
              <wp14:pctHeight>0</wp14:pctHeight>
            </wp14:sizeRelV>
          </wp:anchor>
        </w:drawing>
      </w:r>
      <w:r w:rsidR="003E49C5" w:rsidRPr="003E49C5">
        <w:t xml:space="preserve">La validation des décomptes mensuels et finaux prévue à l’article 13 du CCAG travaux repose sur une relation tripartite : le MOA (l’acheteur) le MOE, et le fournisseur (entreprise titulaire du marché). </w:t>
      </w:r>
    </w:p>
    <w:p w14:paraId="48AC2F36" w14:textId="0F639D04" w:rsidR="0029200B" w:rsidRDefault="0029200B" w:rsidP="0029200B">
      <w:pPr>
        <w:spacing w:before="0" w:after="120"/>
        <w:jc w:val="both"/>
      </w:pPr>
      <w:r w:rsidRPr="003C45A8">
        <w:rPr>
          <w:b/>
          <w:color w:val="FF0000"/>
        </w:rPr>
        <w:t>Les maîtres d’œuvre (MOE), en charge du contrôle des factures liées aux marchés</w:t>
      </w:r>
      <w:r w:rsidR="00FA7F02" w:rsidRPr="003C45A8">
        <w:rPr>
          <w:b/>
          <w:color w:val="FF0000"/>
        </w:rPr>
        <w:t xml:space="preserve"> de travaux, doivent respecter l</w:t>
      </w:r>
      <w:r w:rsidRPr="003C45A8">
        <w:rPr>
          <w:b/>
          <w:color w:val="FF0000"/>
        </w:rPr>
        <w:t>e circuit dématérialisé via Chorus Pro qui s’impose aux entreprises et aux maîtres d’ouvrage</w:t>
      </w:r>
      <w:r w:rsidR="00534A49">
        <w:rPr>
          <w:rStyle w:val="Appelnotedebasdep"/>
        </w:rPr>
        <w:footnoteReference w:id="50"/>
      </w:r>
      <w:r>
        <w:t>.</w:t>
      </w:r>
    </w:p>
    <w:p w14:paraId="4E9734D4" w14:textId="77777777" w:rsidR="0029200B" w:rsidRDefault="0029200B" w:rsidP="0029200B">
      <w:pPr>
        <w:spacing w:before="0" w:after="120"/>
        <w:jc w:val="both"/>
      </w:pPr>
      <w:r>
        <w:t xml:space="preserve">Même en l’absence de mention spécifique dans le marché de maitrise d’œuvre, sur l’intervention du MOE dans Chorus Pro, celui-ci est nécessairement tenu de récupérer les demandes de paiement des entreprises dans Chorus Pro et de les déposer, avec son visa, dans ce circuit dématérialisé, sous peine de ne pas permettre le traitement des factures et d’être tenu pour responsable du non-respect des délais de paiement qui en résulterait. L’article 4 du décret du 2 novembre 2016 relatif au développement de la facturation électronique est formel, en ce qui concerne les marchés de l’Etat, des collectivités territoriales et des établissements publics : « </w:t>
      </w:r>
      <w:r w:rsidRPr="003E49C5">
        <w:rPr>
          <w:i/>
        </w:rPr>
        <w:t xml:space="preserve">l’utilisation du portail de facturation est exclusive de tout autre mode de transmission </w:t>
      </w:r>
      <w:r>
        <w:t>».</w:t>
      </w:r>
    </w:p>
    <w:p w14:paraId="133DCCED" w14:textId="4F4DBEF6" w:rsidR="0029200B" w:rsidRDefault="0029200B" w:rsidP="00B055AE">
      <w:pPr>
        <w:pStyle w:val="Encart"/>
        <w:spacing w:line="276" w:lineRule="auto"/>
      </w:pPr>
      <w:r>
        <w:t>Même si cela n’est pas indispensable, les maîtres d’ouvrage (MOA) ont intérêt, pour plus de clarté, à modifier</w:t>
      </w:r>
      <w:r w:rsidR="00E94F2E">
        <w:t xml:space="preserve"> par avenant</w:t>
      </w:r>
      <w:r>
        <w:t xml:space="preserve"> les marchés de maîtrise d’œuvre pour prévoir cette intervention, lorsque cela n’est pas prévu dans le contrat initial. Il est </w:t>
      </w:r>
      <w:r w:rsidR="00FA7F02">
        <w:t xml:space="preserve">aussi </w:t>
      </w:r>
      <w:r>
        <w:t>fortement conseillé de prévoir cette intervention dans les nouveaux contrats.</w:t>
      </w:r>
    </w:p>
    <w:p w14:paraId="4B30A362" w14:textId="23F8C889" w:rsidR="00C65C9D" w:rsidRPr="007B2681" w:rsidRDefault="00C65C9D" w:rsidP="00C65C9D">
      <w:pPr>
        <w:pStyle w:val="Titre3"/>
        <w:spacing w:after="120"/>
      </w:pPr>
      <w:bookmarkStart w:id="41" w:name="_Toc7425945"/>
      <w:r>
        <w:t>Bonnes pratiques susceptibles de favoriser la diminution des délais de paiement</w:t>
      </w:r>
      <w:bookmarkEnd w:id="41"/>
    </w:p>
    <w:p w14:paraId="4C4EE9F6" w14:textId="79F51B99" w:rsidR="00071235" w:rsidRPr="007B2681" w:rsidRDefault="00C65C9D" w:rsidP="00BF4414">
      <w:pPr>
        <w:spacing w:before="0" w:after="120"/>
        <w:jc w:val="both"/>
      </w:pPr>
      <w:r>
        <w:t>L</w:t>
      </w:r>
      <w:r w:rsidR="00E00EAD" w:rsidRPr="007B2681">
        <w:t xml:space="preserve">es difficultés persistantes appellent à une réflexion autour des bonnes pratiques qui peuvent encore contribuer à l’amélioration des délais de paiement. </w:t>
      </w:r>
    </w:p>
    <w:p w14:paraId="278CBFA0" w14:textId="1371AD8C" w:rsidR="00E00EAD" w:rsidRPr="007B2681" w:rsidRDefault="00125D03" w:rsidP="004D0019">
      <w:pPr>
        <w:spacing w:before="0" w:after="60"/>
        <w:jc w:val="both"/>
      </w:pPr>
      <w:r>
        <w:t>En fonction de l’organisation de chaque structure, de ses moyens, etc., les p</w:t>
      </w:r>
      <w:r w:rsidR="00B00028">
        <w:t>istes de réflexion</w:t>
      </w:r>
      <w:r>
        <w:t xml:space="preserve"> suivantes peuvent être envisagées</w:t>
      </w:r>
      <w:r w:rsidR="00E00EAD" w:rsidRPr="007B2681">
        <w:t xml:space="preserve"> : </w:t>
      </w:r>
    </w:p>
    <w:p w14:paraId="4EBD16C5" w14:textId="5AC24F45" w:rsidR="004D0019" w:rsidRDefault="004D0019" w:rsidP="004D0019">
      <w:pPr>
        <w:pStyle w:val="Paragraphedeliste"/>
        <w:numPr>
          <w:ilvl w:val="0"/>
          <w:numId w:val="35"/>
        </w:numPr>
        <w:spacing w:before="0" w:after="60"/>
        <w:ind w:left="284" w:hanging="284"/>
        <w:contextualSpacing w:val="0"/>
        <w:jc w:val="both"/>
      </w:pPr>
      <w:r>
        <w:t xml:space="preserve">améliorer la </w:t>
      </w:r>
      <w:r w:rsidRPr="004D0019">
        <w:rPr>
          <w:b/>
        </w:rPr>
        <w:t>coordination des services</w:t>
      </w:r>
      <w:r>
        <w:t xml:space="preserve"> acheteurs et financiers dans le suivi d’exécution des marchés publics et </w:t>
      </w:r>
      <w:r w:rsidRPr="007B2681">
        <w:t xml:space="preserve">mettre en place des </w:t>
      </w:r>
      <w:r w:rsidRPr="007B2681">
        <w:rPr>
          <w:b/>
        </w:rPr>
        <w:t>outils de pilotage</w:t>
      </w:r>
      <w:r>
        <w:rPr>
          <w:b/>
        </w:rPr>
        <w:t xml:space="preserve"> partagés</w:t>
      </w:r>
      <w:r w:rsidRPr="007B2681">
        <w:rPr>
          <w:b/>
        </w:rPr>
        <w:t xml:space="preserve"> </w:t>
      </w:r>
      <w:r w:rsidRPr="007B2681">
        <w:t>(type tableau de bord)</w:t>
      </w:r>
      <w:r>
        <w:t xml:space="preserve"> ;</w:t>
      </w:r>
    </w:p>
    <w:p w14:paraId="5DA012D9" w14:textId="334F15D4" w:rsidR="00E00EAD" w:rsidRPr="007B2681" w:rsidRDefault="00E00EAD" w:rsidP="004D0019">
      <w:pPr>
        <w:pStyle w:val="Paragraphedeliste"/>
        <w:numPr>
          <w:ilvl w:val="0"/>
          <w:numId w:val="35"/>
        </w:numPr>
        <w:spacing w:before="0" w:after="60"/>
        <w:ind w:left="284" w:hanging="284"/>
        <w:contextualSpacing w:val="0"/>
        <w:jc w:val="both"/>
      </w:pPr>
      <w:r w:rsidRPr="007B2681">
        <w:t xml:space="preserve">sensibiliser les services </w:t>
      </w:r>
      <w:r w:rsidR="004D0019">
        <w:t>opérationnels</w:t>
      </w:r>
      <w:r w:rsidRPr="007B2681">
        <w:t xml:space="preserve"> </w:t>
      </w:r>
      <w:r w:rsidR="004D0019">
        <w:t>et</w:t>
      </w:r>
      <w:r w:rsidRPr="007B2681">
        <w:t xml:space="preserve"> </w:t>
      </w:r>
      <w:r w:rsidR="004D0019">
        <w:t xml:space="preserve">les bénéficiaires de la prestation (clients internes) </w:t>
      </w:r>
      <w:r w:rsidRPr="007B2681">
        <w:t xml:space="preserve">à la nécessité d’attester les </w:t>
      </w:r>
      <w:r w:rsidRPr="007B2681">
        <w:rPr>
          <w:b/>
        </w:rPr>
        <w:t>services faits</w:t>
      </w:r>
      <w:r w:rsidR="004D0019">
        <w:t xml:space="preserve"> </w:t>
      </w:r>
      <w:r w:rsidRPr="007B2681">
        <w:t xml:space="preserve">dans un délai bref </w:t>
      </w:r>
      <w:r w:rsidR="004D0019">
        <w:t xml:space="preserve">(ex : 5 jours), contribuant ainsi à la fluidification de la chaîne de la dépense </w:t>
      </w:r>
      <w:r w:rsidRPr="007B2681">
        <w:t xml:space="preserve">; </w:t>
      </w:r>
    </w:p>
    <w:p w14:paraId="60FFF1BC" w14:textId="2E08097B" w:rsidR="00E00EAD" w:rsidRPr="007B2681" w:rsidRDefault="00E00EAD" w:rsidP="004D0019">
      <w:pPr>
        <w:pStyle w:val="Paragraphedeliste"/>
        <w:numPr>
          <w:ilvl w:val="0"/>
          <w:numId w:val="35"/>
        </w:numPr>
        <w:spacing w:before="0" w:after="60"/>
        <w:ind w:left="284" w:hanging="284"/>
        <w:contextualSpacing w:val="0"/>
        <w:jc w:val="both"/>
      </w:pPr>
      <w:r w:rsidRPr="007B2681">
        <w:t>sensibiliser dans le cadre de « réunions fournisseurs »</w:t>
      </w:r>
      <w:r w:rsidR="00AB476C">
        <w:t xml:space="preserve"> ces derniers</w:t>
      </w:r>
      <w:r w:rsidRPr="007B2681">
        <w:t xml:space="preserve"> à l’emploi de Chorus PRO</w:t>
      </w:r>
      <w:r w:rsidRPr="007B2681">
        <w:rPr>
          <w:b/>
        </w:rPr>
        <w:t xml:space="preserve"> </w:t>
      </w:r>
      <w:r w:rsidRPr="007B2681">
        <w:t>et aux contraintes réglementaires à respecter pour l’</w:t>
      </w:r>
      <w:r w:rsidRPr="007B2681">
        <w:rPr>
          <w:b/>
        </w:rPr>
        <w:t>émission des factures </w:t>
      </w:r>
      <w:r w:rsidRPr="007B2681">
        <w:t xml:space="preserve">; </w:t>
      </w:r>
    </w:p>
    <w:p w14:paraId="012544B2" w14:textId="23A4082F" w:rsidR="00E00EAD" w:rsidRPr="007B2681" w:rsidRDefault="00FA6B54" w:rsidP="004D0019">
      <w:pPr>
        <w:pStyle w:val="Paragraphedeliste"/>
        <w:numPr>
          <w:ilvl w:val="0"/>
          <w:numId w:val="35"/>
        </w:numPr>
        <w:spacing w:before="0" w:after="60"/>
        <w:ind w:left="284" w:hanging="284"/>
        <w:contextualSpacing w:val="0"/>
        <w:jc w:val="both"/>
      </w:pPr>
      <w:r>
        <w:t xml:space="preserve">expérimenter / </w:t>
      </w:r>
      <w:r w:rsidR="00E00EAD" w:rsidRPr="007B2681">
        <w:t xml:space="preserve">déployer la </w:t>
      </w:r>
      <w:r w:rsidR="00E00EAD" w:rsidRPr="007B2681">
        <w:rPr>
          <w:b/>
        </w:rPr>
        <w:t>carte achats</w:t>
      </w:r>
      <w:r w:rsidR="00E00EAD" w:rsidRPr="007B2681">
        <w:t xml:space="preserve"> sur des segments pertinents (ex : fournitures…)</w:t>
      </w:r>
      <w:r w:rsidR="002C3F9C">
        <w:t>, permet</w:t>
      </w:r>
      <w:r w:rsidR="00511572">
        <w:t>tant</w:t>
      </w:r>
      <w:r w:rsidR="002C3F9C">
        <w:t xml:space="preserve"> pour des achats de faible montant et récurrents de déléguer le droit de commander à des personnes habilitées</w:t>
      </w:r>
      <w:r w:rsidR="00511572">
        <w:t>,</w:t>
      </w:r>
      <w:r w:rsidR="002C3F9C">
        <w:t xml:space="preserve"> pour limiter les actes d’achat et de paiement</w:t>
      </w:r>
      <w:r w:rsidR="00511572">
        <w:t xml:space="preserve"> sans enjeu et payer rapidement les fournisseurs</w:t>
      </w:r>
      <w:r w:rsidR="002C3F9C">
        <w:rPr>
          <w:rStyle w:val="Appelnotedebasdep"/>
        </w:rPr>
        <w:footnoteReference w:id="51"/>
      </w:r>
      <w:r w:rsidR="00E00EAD" w:rsidRPr="007B2681">
        <w:t> ;</w:t>
      </w:r>
    </w:p>
    <w:p w14:paraId="0DC90F7F" w14:textId="001A3892" w:rsidR="00E00EAD" w:rsidRPr="007B2681" w:rsidRDefault="00E00EAD" w:rsidP="004D0019">
      <w:pPr>
        <w:pStyle w:val="Paragraphedeliste"/>
        <w:numPr>
          <w:ilvl w:val="0"/>
          <w:numId w:val="35"/>
        </w:numPr>
        <w:spacing w:before="0" w:after="60"/>
        <w:ind w:left="284" w:hanging="284"/>
        <w:contextualSpacing w:val="0"/>
        <w:jc w:val="both"/>
      </w:pPr>
      <w:r w:rsidRPr="007B2681">
        <w:t xml:space="preserve">anticiper conjointement les </w:t>
      </w:r>
      <w:r w:rsidRPr="007B2681">
        <w:rPr>
          <w:b/>
        </w:rPr>
        <w:t>révisions de prix</w:t>
      </w:r>
      <w:r w:rsidRPr="007B2681">
        <w:t> </w:t>
      </w:r>
      <w:r w:rsidR="00EA04E0">
        <w:t>et déterminer qui le</w:t>
      </w:r>
      <w:r w:rsidR="00802873">
        <w:t>s</w:t>
      </w:r>
      <w:r w:rsidR="00EA04E0">
        <w:t xml:space="preserve"> réalise (cf. </w:t>
      </w:r>
      <w:hyperlink w:anchor="_Fiche_15_:" w:history="1">
        <w:r w:rsidR="00EA04E0" w:rsidRPr="00EA04E0">
          <w:rPr>
            <w:rStyle w:val="Lienhypertexte"/>
          </w:rPr>
          <w:t>point dédié</w:t>
        </w:r>
      </w:hyperlink>
      <w:r w:rsidR="00EA04E0">
        <w:t xml:space="preserve">) </w:t>
      </w:r>
      <w:r w:rsidRPr="007B2681">
        <w:t>;</w:t>
      </w:r>
    </w:p>
    <w:p w14:paraId="756442C4" w14:textId="0350AA6C" w:rsidR="00E00EAD" w:rsidRPr="007B2681" w:rsidRDefault="00E00EAD" w:rsidP="004D0019">
      <w:pPr>
        <w:pStyle w:val="Paragraphedeliste"/>
        <w:numPr>
          <w:ilvl w:val="0"/>
          <w:numId w:val="35"/>
        </w:numPr>
        <w:spacing w:before="0" w:after="60"/>
        <w:ind w:left="284" w:hanging="284"/>
        <w:contextualSpacing w:val="0"/>
        <w:jc w:val="both"/>
      </w:pPr>
      <w:r w:rsidRPr="007B2681">
        <w:t xml:space="preserve">rendre le paiement des </w:t>
      </w:r>
      <w:r w:rsidRPr="007B2681">
        <w:rPr>
          <w:b/>
        </w:rPr>
        <w:t>intérêts moratoires</w:t>
      </w:r>
      <w:r w:rsidRPr="007B2681">
        <w:t xml:space="preserve"> pleinement effectif quelle que soit la structure publique concernée ; </w:t>
      </w:r>
    </w:p>
    <w:p w14:paraId="2262576C" w14:textId="7CA388A9" w:rsidR="00E00EAD" w:rsidRPr="007B2681" w:rsidRDefault="00E00EAD" w:rsidP="004D0019">
      <w:pPr>
        <w:pStyle w:val="Paragraphedeliste"/>
        <w:numPr>
          <w:ilvl w:val="0"/>
          <w:numId w:val="35"/>
        </w:numPr>
        <w:spacing w:before="0" w:after="60"/>
        <w:ind w:left="284" w:hanging="284"/>
        <w:contextualSpacing w:val="0"/>
        <w:jc w:val="both"/>
      </w:pPr>
      <w:r w:rsidRPr="007B2681">
        <w:t>prévenir autant que possible les litiges et l</w:t>
      </w:r>
      <w:r w:rsidR="00B00028">
        <w:t xml:space="preserve">a </w:t>
      </w:r>
      <w:r w:rsidR="00B00028" w:rsidRPr="00B00028">
        <w:rPr>
          <w:b/>
        </w:rPr>
        <w:t>suspension</w:t>
      </w:r>
      <w:r w:rsidR="00B00028">
        <w:t xml:space="preserve"> </w:t>
      </w:r>
      <w:r w:rsidRPr="007B2681">
        <w:rPr>
          <w:b/>
        </w:rPr>
        <w:t>de factures</w:t>
      </w:r>
      <w:r w:rsidRPr="007B2681">
        <w:t xml:space="preserve"> au regard du montant de l’achat </w:t>
      </w:r>
      <w:r w:rsidR="00463A46">
        <w:t xml:space="preserve">(faible, important…) </w:t>
      </w:r>
      <w:r w:rsidRPr="007B2681">
        <w:t xml:space="preserve">et de la nature de l’entreprise (ex : PME, artisan…) ; </w:t>
      </w:r>
    </w:p>
    <w:p w14:paraId="10337E01" w14:textId="5F1D129F" w:rsidR="00A40919" w:rsidRPr="004D16C6" w:rsidRDefault="002C3F9C" w:rsidP="004D16C6">
      <w:pPr>
        <w:pStyle w:val="Paragraphedeliste"/>
        <w:numPr>
          <w:ilvl w:val="0"/>
          <w:numId w:val="35"/>
        </w:numPr>
        <w:spacing w:before="0" w:after="60"/>
        <w:ind w:left="284" w:hanging="284"/>
        <w:contextualSpacing w:val="0"/>
        <w:jc w:val="both"/>
      </w:pPr>
      <w:r>
        <w:t>envisager la mise en place d’un système d</w:t>
      </w:r>
      <w:r w:rsidR="00E00EAD" w:rsidRPr="007B2681">
        <w:t>’</w:t>
      </w:r>
      <w:r w:rsidR="00E00EAD" w:rsidRPr="007B2681">
        <w:rPr>
          <w:b/>
        </w:rPr>
        <w:t>affacturage inversé</w:t>
      </w:r>
      <w:r w:rsidR="00E00EAD" w:rsidRPr="007B2681">
        <w:t>, qui permet aux fournisseurs d’obtenir un paiement très rapide de leurs factures, non pas par leurs clients publics, mais par un organisme spécialisé (type banque) moyennant une rémunération</w:t>
      </w:r>
      <w:r w:rsidR="005C3AE2">
        <w:t xml:space="preserve"> versée par l’acheteur public au factor</w:t>
      </w:r>
      <w:r w:rsidR="005C3AE2" w:rsidRPr="007B2681">
        <w:rPr>
          <w:rStyle w:val="Appelnotedebasdep"/>
        </w:rPr>
        <w:t xml:space="preserve"> </w:t>
      </w:r>
      <w:r w:rsidR="00E00EAD" w:rsidRPr="007B2681">
        <w:rPr>
          <w:rStyle w:val="Appelnotedebasdep"/>
        </w:rPr>
        <w:footnoteReference w:id="52"/>
      </w:r>
      <w:r w:rsidR="00E00EAD" w:rsidRPr="007B2681">
        <w:t xml:space="preserve">. </w:t>
      </w:r>
      <w:r w:rsidR="00A40919">
        <w:br w:type="page"/>
      </w:r>
    </w:p>
    <w:p w14:paraId="2F54547A" w14:textId="1B905F9F" w:rsidR="00B82771" w:rsidRDefault="00B82771" w:rsidP="002908A3">
      <w:pPr>
        <w:pStyle w:val="Titre1"/>
        <w:spacing w:after="240"/>
      </w:pPr>
      <w:bookmarkStart w:id="42" w:name="_Toc7425946"/>
      <w:r>
        <w:lastRenderedPageBreak/>
        <w:t>Fiche 1</w:t>
      </w:r>
      <w:r w:rsidR="00CD541B">
        <w:t>4</w:t>
      </w:r>
      <w:r>
        <w:t xml:space="preserve"> : </w:t>
      </w:r>
      <w:r w:rsidR="003D5022">
        <w:t>Assurer un s</w:t>
      </w:r>
      <w:r w:rsidR="007A133D">
        <w:t xml:space="preserve">uivi </w:t>
      </w:r>
      <w:r w:rsidR="003D5022">
        <w:t xml:space="preserve">conjoint </w:t>
      </w:r>
      <w:r w:rsidR="007A133D">
        <w:t>d’exécution</w:t>
      </w:r>
      <w:bookmarkEnd w:id="42"/>
    </w:p>
    <w:p w14:paraId="030CD14B" w14:textId="2B9504C9" w:rsidR="007A133D" w:rsidRDefault="007A133D" w:rsidP="002908A3">
      <w:pPr>
        <w:spacing w:after="120"/>
        <w:jc w:val="both"/>
      </w:pPr>
      <w:r>
        <w:t xml:space="preserve">Instaurer un </w:t>
      </w:r>
      <w:r w:rsidRPr="002908A3">
        <w:rPr>
          <w:b/>
        </w:rPr>
        <w:t>dialogue avec le cocontractant</w:t>
      </w:r>
      <w:r>
        <w:t xml:space="preserve"> tout au long de l’exécution du contrat, surtout quand l’entreprise est de taille modeste, permet bien souvent d’éviter une partie des risques d</w:t>
      </w:r>
      <w:r w:rsidR="002908A3">
        <w:t>e mauvaise exécution, de retard</w:t>
      </w:r>
      <w:r>
        <w:t xml:space="preserve"> ou d’interruption des prestations. </w:t>
      </w:r>
    </w:p>
    <w:p w14:paraId="1DC5DC60" w14:textId="00AF2A1C" w:rsidR="007A133D" w:rsidRDefault="007A133D" w:rsidP="002908A3">
      <w:pPr>
        <w:spacing w:after="120"/>
        <w:jc w:val="both"/>
      </w:pPr>
      <w:r>
        <w:t>L</w:t>
      </w:r>
      <w:r w:rsidR="002908A3">
        <w:t xml:space="preserve">a mise en place d’un </w:t>
      </w:r>
      <w:r w:rsidR="002908A3" w:rsidRPr="00D12E52">
        <w:t>pilotage partenarial</w:t>
      </w:r>
      <w:r w:rsidR="00D12E52">
        <w:t xml:space="preserve"> </w:t>
      </w:r>
      <w:r w:rsidR="002908A3">
        <w:t xml:space="preserve">permet aux parties d’échanger sur les conditions de réalisation des prestations et </w:t>
      </w:r>
      <w:r w:rsidR="001818A1">
        <w:t xml:space="preserve">de </w:t>
      </w:r>
      <w:r w:rsidR="002908A3">
        <w:t>s’alerter sur d</w:t>
      </w:r>
      <w:r w:rsidR="001818A1">
        <w:t>’</w:t>
      </w:r>
      <w:r w:rsidR="002908A3">
        <w:t xml:space="preserve">éventuelles difficultés, plutôt que de les découvrir tardivement. Il participe également de la connaissance mutuelle des contraintes de la personne publique et de son titulaire, </w:t>
      </w:r>
      <w:r>
        <w:t>de manière à tirer le meilleur parti de</w:t>
      </w:r>
      <w:r w:rsidR="00547F81">
        <w:t>s</w:t>
      </w:r>
      <w:r>
        <w:t xml:space="preserve"> capacités</w:t>
      </w:r>
      <w:r w:rsidR="00547F81">
        <w:t xml:space="preserve"> réciproques</w:t>
      </w:r>
      <w:r>
        <w:t xml:space="preserve">. </w:t>
      </w:r>
    </w:p>
    <w:p w14:paraId="471B3D96" w14:textId="0A210E43" w:rsidR="00A23FD3" w:rsidRDefault="007A133D" w:rsidP="00A23FD3">
      <w:pPr>
        <w:spacing w:after="120"/>
        <w:jc w:val="both"/>
      </w:pPr>
      <w:r>
        <w:t>L’usage de</w:t>
      </w:r>
      <w:r w:rsidR="002908A3">
        <w:t>s pénalités et des</w:t>
      </w:r>
      <w:r>
        <w:t xml:space="preserve"> clauses incitatives</w:t>
      </w:r>
      <w:r w:rsidR="002908A3">
        <w:t xml:space="preserve"> </w:t>
      </w:r>
      <w:r w:rsidR="00D12E52">
        <w:t xml:space="preserve">peut </w:t>
      </w:r>
      <w:r w:rsidR="002908A3">
        <w:t>constitue</w:t>
      </w:r>
      <w:r w:rsidR="00D12E52">
        <w:t>r</w:t>
      </w:r>
      <w:r w:rsidR="002908A3">
        <w:t xml:space="preserve"> – si employé à bon escient – un outil contractuel</w:t>
      </w:r>
      <w:r w:rsidR="00D12E52">
        <w:t xml:space="preserve"> efficace</w:t>
      </w:r>
      <w:r w:rsidR="002908A3">
        <w:t xml:space="preserve">, dans le cadre d’un </w:t>
      </w:r>
      <w:r w:rsidR="002908A3" w:rsidRPr="00D12E52">
        <w:rPr>
          <w:b/>
        </w:rPr>
        <w:t>suivi d’exécution</w:t>
      </w:r>
      <w:r w:rsidR="002908A3">
        <w:t xml:space="preserve"> </w:t>
      </w:r>
      <w:r w:rsidR="00D12E52" w:rsidRPr="00D12E52">
        <w:rPr>
          <w:b/>
        </w:rPr>
        <w:t>à échéance régulière</w:t>
      </w:r>
      <w:r w:rsidR="00D12E52">
        <w:t xml:space="preserve">. Trop souvent, l’effort des acheteurs porte sur la procédure de passation du marché, tandis que le suivi est </w:t>
      </w:r>
      <w:r w:rsidR="00A23FD3">
        <w:t xml:space="preserve">délégué aux services opérationnels. </w:t>
      </w:r>
    </w:p>
    <w:p w14:paraId="13A23B72" w14:textId="75A467A1" w:rsidR="007A133D" w:rsidRPr="00A23FD3" w:rsidRDefault="00A23FD3" w:rsidP="00A23FD3">
      <w:pPr>
        <w:jc w:val="both"/>
      </w:pPr>
      <w:r w:rsidRPr="00A23FD3">
        <w:t>Or, la vérification de l’adéquation entre les clauses contractuelles prévues en amont et la réalité de l’exécution concoure à l’amélioration de l’efficacité économique des contrats publics et de la maturité du processus achat.</w:t>
      </w:r>
      <w:r w:rsidR="0077522B">
        <w:t xml:space="preserve"> </w:t>
      </w:r>
    </w:p>
    <w:p w14:paraId="25C79FF7" w14:textId="4F1E13EE" w:rsidR="007A133D" w:rsidRDefault="003D5022" w:rsidP="007A133D">
      <w:pPr>
        <w:pStyle w:val="Titre2"/>
        <w:spacing w:after="240"/>
      </w:pPr>
      <w:bookmarkStart w:id="43" w:name="_Toc7425947"/>
      <w:r>
        <w:t>Recours aux p</w:t>
      </w:r>
      <w:r w:rsidR="007A133D">
        <w:t>énalités</w:t>
      </w:r>
      <w:bookmarkEnd w:id="43"/>
    </w:p>
    <w:p w14:paraId="07EF5D8A" w14:textId="3B67BC33" w:rsidR="007B2681" w:rsidRPr="00BF4414" w:rsidRDefault="00D86175" w:rsidP="00BF4414">
      <w:pPr>
        <w:spacing w:after="120"/>
        <w:jc w:val="both"/>
      </w:pPr>
      <w:r w:rsidRPr="00003D82">
        <w:rPr>
          <w:noProof/>
          <w:lang w:eastAsia="fr-FR"/>
        </w:rPr>
        <w:drawing>
          <wp:anchor distT="0" distB="0" distL="114300" distR="114300" simplePos="0" relativeHeight="251788288" behindDoc="1" locked="0" layoutInCell="1" allowOverlap="1" wp14:anchorId="5A86A0D5" wp14:editId="589F1B49">
            <wp:simplePos x="0" y="0"/>
            <wp:positionH relativeFrom="margin">
              <wp:posOffset>5184775</wp:posOffset>
            </wp:positionH>
            <wp:positionV relativeFrom="paragraph">
              <wp:posOffset>411480</wp:posOffset>
            </wp:positionV>
            <wp:extent cx="570865" cy="711835"/>
            <wp:effectExtent l="0" t="0" r="635" b="0"/>
            <wp:wrapTight wrapText="bothSides">
              <wp:wrapPolygon edited="0">
                <wp:start x="17299" y="578"/>
                <wp:lineTo x="2883" y="5781"/>
                <wp:lineTo x="0" y="7515"/>
                <wp:lineTo x="0" y="20810"/>
                <wp:lineTo x="20903" y="20810"/>
                <wp:lineTo x="20903" y="578"/>
                <wp:lineTo x="17299" y="578"/>
              </wp:wrapPolygon>
            </wp:wrapTight>
            <wp:docPr id="46" name="Image 46" descr="K:\1ESD\1C\COMMUN1C\06. OECP\3 - GT OECP\GT_acces-TPE-PME\Projet de guide\Icônes\checklist-on-a-paper-with-a-penc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1ESD\1C\COMMUN1C\06. OECP\3 - GT OECP\GT_acces-TPE-PME\Projet de guide\Icônes\checklist-on-a-paper-with-a-pencil.png"/>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70865" cy="711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2681" w:rsidRPr="00BF4414">
        <w:t xml:space="preserve">Les pénalités ont pour finalité de </w:t>
      </w:r>
      <w:r w:rsidR="007B2681" w:rsidRPr="000461D8">
        <w:rPr>
          <w:b/>
        </w:rPr>
        <w:t>garantir</w:t>
      </w:r>
      <w:r w:rsidR="007B2681" w:rsidRPr="00BF4414">
        <w:t xml:space="preserve"> à l’acheteur </w:t>
      </w:r>
      <w:r w:rsidR="007B2681" w:rsidRPr="000461D8">
        <w:rPr>
          <w:b/>
        </w:rPr>
        <w:t>le respect</w:t>
      </w:r>
      <w:r w:rsidR="007B2681" w:rsidRPr="00BF4414">
        <w:t xml:space="preserve"> par son cocontractant </w:t>
      </w:r>
      <w:r w:rsidR="007B2681" w:rsidRPr="000461D8">
        <w:rPr>
          <w:b/>
        </w:rPr>
        <w:t>des stipulations contractuelles</w:t>
      </w:r>
      <w:r w:rsidR="007B2681" w:rsidRPr="00BF4414">
        <w:t>. Elles ont ainsi une fonction diss</w:t>
      </w:r>
      <w:r w:rsidR="001E3C3B">
        <w:t xml:space="preserve">uasive, mais aussi réparatrice </w:t>
      </w:r>
      <w:r w:rsidR="007B2681" w:rsidRPr="00BF4414">
        <w:t>car elles se substituent à d</w:t>
      </w:r>
      <w:r w:rsidR="001E3C3B">
        <w:t>’éventuels dommages et intérêts</w:t>
      </w:r>
      <w:r w:rsidR="007B2681" w:rsidRPr="00BF4414">
        <w:t>.</w:t>
      </w:r>
      <w:r w:rsidR="00ED3C22">
        <w:t xml:space="preserve"> </w:t>
      </w:r>
    </w:p>
    <w:p w14:paraId="04E427D7" w14:textId="1F5C8504" w:rsidR="007B2681" w:rsidRPr="00BF4414" w:rsidRDefault="001E3C3B" w:rsidP="00BF4414">
      <w:pPr>
        <w:spacing w:after="120"/>
        <w:jc w:val="both"/>
      </w:pPr>
      <w:r>
        <w:t>D</w:t>
      </w:r>
      <w:r w:rsidR="007B2681" w:rsidRPr="00BF4414">
        <w:t xml:space="preserve">es pénalités sont </w:t>
      </w:r>
      <w:r w:rsidR="007B2681" w:rsidRPr="001E3C3B">
        <w:t xml:space="preserve">fréquemment prévues </w:t>
      </w:r>
      <w:r w:rsidR="007B2681" w:rsidRPr="00BF4414">
        <w:t>pour sanctionner le non-respect des délais d’exécution des prestations. Elles peuvent aussi être mises en œuvre dans d’autres cas (ex : qualité insuffisante de la prestation, non remise d’un document attendu, indisponibilité de matériels, absence aux réunions de chantier, violation de clauses environnementales ou sociales, etc.) dès lors que ceux-ci ont été explicitement prévus dans le contrat.</w:t>
      </w:r>
    </w:p>
    <w:p w14:paraId="06A5DF68" w14:textId="1224A878" w:rsidR="007B2681" w:rsidRPr="00BF4414" w:rsidRDefault="007B2681" w:rsidP="00BF4414">
      <w:pPr>
        <w:spacing w:after="120"/>
        <w:jc w:val="both"/>
      </w:pPr>
      <w:r w:rsidRPr="00BF4414">
        <w:t>En ce qui concerne les pénalités de retard, leurs modalités d’application et de calcul sont posées dans les différents cahiers des clauses administratives générales (CCAG)</w:t>
      </w:r>
      <w:r w:rsidR="001E3C3B">
        <w:t>.</w:t>
      </w:r>
      <w:r w:rsidRPr="00BF4414">
        <w:t xml:space="preserve"> Néanmoins, les acheteurs publics peuvent toujours </w:t>
      </w:r>
      <w:r w:rsidRPr="001E3C3B">
        <w:t>déroger aux dispositions des CCAG  par une stipulation expresse</w:t>
      </w:r>
      <w:r w:rsidRPr="00BF4414">
        <w:t xml:space="preserve"> dans les documents contractuels.</w:t>
      </w:r>
    </w:p>
    <w:p w14:paraId="24785926" w14:textId="0CBC5359" w:rsidR="007B2681" w:rsidRPr="00BF4414" w:rsidRDefault="007B2681" w:rsidP="00E74ED7">
      <w:pPr>
        <w:pStyle w:val="Encart"/>
        <w:spacing w:after="120" w:line="276" w:lineRule="auto"/>
        <w:rPr>
          <w:lang w:eastAsia="fr-FR"/>
        </w:rPr>
      </w:pPr>
      <w:r w:rsidRPr="00BF4414">
        <w:rPr>
          <w:lang w:eastAsia="fr-FR"/>
        </w:rPr>
        <w:t xml:space="preserve">Lorsqu’il prépare la passation de son marché public, l’acheteur doit </w:t>
      </w:r>
      <w:r w:rsidRPr="000310AC">
        <w:rPr>
          <w:b/>
          <w:lang w:eastAsia="fr-FR"/>
        </w:rPr>
        <w:t>apporter une attention particulière aux clauses de pénalités</w:t>
      </w:r>
      <w:r w:rsidRPr="00BF4414">
        <w:rPr>
          <w:lang w:eastAsia="fr-FR"/>
        </w:rPr>
        <w:t xml:space="preserve">. Si celles-ci doivent </w:t>
      </w:r>
      <w:r w:rsidR="001E3C3B">
        <w:rPr>
          <w:lang w:eastAsia="fr-FR"/>
        </w:rPr>
        <w:t xml:space="preserve">empêcher </w:t>
      </w:r>
      <w:r w:rsidRPr="00BF4414">
        <w:rPr>
          <w:lang w:eastAsia="fr-FR"/>
        </w:rPr>
        <w:t>le futur titulaire de s’affranchir de ses obligations, des pénalités trop fortes</w:t>
      </w:r>
      <w:r w:rsidR="001E3C3B">
        <w:rPr>
          <w:lang w:eastAsia="fr-FR"/>
        </w:rPr>
        <w:t xml:space="preserve"> ou trop nombreuses</w:t>
      </w:r>
      <w:r w:rsidRPr="00BF4414">
        <w:rPr>
          <w:lang w:eastAsia="fr-FR"/>
        </w:rPr>
        <w:t xml:space="preserve"> peuvent conduire certains opérateurs à renoncer à candidater ou à augmenter leur prix pour couvrir ce risque. Elles peuvent également générer des conflits en cours d’exécution du marché</w:t>
      </w:r>
      <w:r w:rsidR="000310AC">
        <w:rPr>
          <w:lang w:eastAsia="fr-FR"/>
        </w:rPr>
        <w:t xml:space="preserve"> et ne </w:t>
      </w:r>
      <w:r w:rsidR="001E3C3B">
        <w:rPr>
          <w:lang w:eastAsia="fr-FR"/>
        </w:rPr>
        <w:t xml:space="preserve">peuvent suppléer un </w:t>
      </w:r>
      <w:r w:rsidR="000310AC">
        <w:rPr>
          <w:lang w:eastAsia="fr-FR"/>
        </w:rPr>
        <w:t xml:space="preserve">véritable </w:t>
      </w:r>
      <w:r w:rsidR="000310AC" w:rsidRPr="000310AC">
        <w:rPr>
          <w:b/>
          <w:lang w:eastAsia="fr-FR"/>
        </w:rPr>
        <w:t>pilotage contractuel</w:t>
      </w:r>
      <w:r w:rsidRPr="00BF4414">
        <w:rPr>
          <w:lang w:eastAsia="fr-FR"/>
        </w:rPr>
        <w:t>.</w:t>
      </w:r>
    </w:p>
    <w:p w14:paraId="6F242E46" w14:textId="101B0581" w:rsidR="001E3C3B" w:rsidRDefault="00DB177C" w:rsidP="00E74ED7">
      <w:pPr>
        <w:tabs>
          <w:tab w:val="left" w:pos="1256"/>
        </w:tabs>
        <w:spacing w:before="180" w:after="120"/>
        <w:jc w:val="both"/>
      </w:pPr>
      <w:r>
        <w:t xml:space="preserve">En effet, </w:t>
      </w:r>
      <w:r w:rsidR="001E3C3B">
        <w:t>si dans certains cas les pénalités sont la matérialisation d’attentes légitimes de la personne publique, dans d’autres cas, elles correspondent</w:t>
      </w:r>
      <w:r w:rsidRPr="00DB177C">
        <w:t xml:space="preserve"> à des exigences trop strictes, par exemple en matière de </w:t>
      </w:r>
      <w:r w:rsidR="001E3C3B">
        <w:t xml:space="preserve">délais, de </w:t>
      </w:r>
      <w:r w:rsidRPr="00DB177C">
        <w:t>reporting</w:t>
      </w:r>
      <w:r w:rsidR="001E3C3B">
        <w:t xml:space="preserve"> </w:t>
      </w:r>
      <w:r w:rsidR="00CF01AA">
        <w:t xml:space="preserve">qualité </w:t>
      </w:r>
      <w:r w:rsidR="001E3C3B">
        <w:t>des prestations</w:t>
      </w:r>
      <w:r w:rsidRPr="00DB177C">
        <w:t xml:space="preserve">, etc. </w:t>
      </w:r>
      <w:r w:rsidR="001E3C3B">
        <w:t>Parfois ce n’est pas tant la nature même de la pénalité qui est en cause, mais le montant associé, qui est disproportionné (et pas nécessairement lié à une obligation de service public).</w:t>
      </w:r>
    </w:p>
    <w:p w14:paraId="66EC176C" w14:textId="77777777" w:rsidR="00E74ED7" w:rsidRDefault="001E3C3B" w:rsidP="00BF4414">
      <w:pPr>
        <w:tabs>
          <w:tab w:val="left" w:pos="1256"/>
        </w:tabs>
        <w:spacing w:after="120"/>
        <w:jc w:val="both"/>
        <w:rPr>
          <w:color w:val="FF0000"/>
        </w:rPr>
      </w:pPr>
      <w:r w:rsidRPr="00470133">
        <w:rPr>
          <w:color w:val="FF0000"/>
        </w:rPr>
        <w:t>U</w:t>
      </w:r>
      <w:r w:rsidR="00DB177C" w:rsidRPr="00470133">
        <w:rPr>
          <w:color w:val="FF0000"/>
        </w:rPr>
        <w:t>ne réflexion amont sur ce qui est réellement nécessaire à la personne publique permettrait de circonscrire le champ des pénalités (ex : faut-il sanctionner la non remise de documents non substantiels ?) pour en améliorer l’effectivité et attirer l’attention des opérateurs sur certains aspects, tels que la qualité.</w:t>
      </w:r>
      <w:r w:rsidR="000310AC" w:rsidRPr="00470133">
        <w:rPr>
          <w:color w:val="FF0000"/>
        </w:rPr>
        <w:t xml:space="preserve"> </w:t>
      </w:r>
    </w:p>
    <w:p w14:paraId="453D4FE6" w14:textId="0A4B6E31" w:rsidR="00122A52" w:rsidRPr="00E74ED7" w:rsidRDefault="00122A52" w:rsidP="00BF4414">
      <w:pPr>
        <w:tabs>
          <w:tab w:val="left" w:pos="1256"/>
        </w:tabs>
        <w:spacing w:after="120"/>
        <w:jc w:val="both"/>
      </w:pPr>
      <w:r w:rsidRPr="00122A52">
        <w:t xml:space="preserve">Par exemple, les pénalités peuvent être utilisées pour s’assurer de la bonne exécution des clauses sociales, afin de ne pas </w:t>
      </w:r>
      <w:r>
        <w:t>encourager les offres uniquement « déclaratives » sur ce volet</w:t>
      </w:r>
      <w:r>
        <w:rPr>
          <w:rStyle w:val="Appelnotedebasdep"/>
        </w:rPr>
        <w:footnoteReference w:id="53"/>
      </w:r>
      <w:r>
        <w:t xml:space="preserve">. </w:t>
      </w:r>
    </w:p>
    <w:p w14:paraId="3761726E" w14:textId="3BB0DFF5" w:rsidR="00DB177C" w:rsidRDefault="000310AC" w:rsidP="00BF4414">
      <w:pPr>
        <w:tabs>
          <w:tab w:val="left" w:pos="1256"/>
        </w:tabs>
        <w:spacing w:after="120"/>
        <w:jc w:val="both"/>
      </w:pPr>
      <w:r>
        <w:lastRenderedPageBreak/>
        <w:t>La multiplicité des pénalités sur tous les aspects du contrat peut s’avérer contre-productive</w:t>
      </w:r>
      <w:r w:rsidR="00F52C7E">
        <w:t>,</w:t>
      </w:r>
      <w:r>
        <w:t xml:space="preserve"> </w:t>
      </w:r>
      <w:r w:rsidR="00F52C7E">
        <w:t xml:space="preserve">car elle n’est au final pas mise en œuvre par l’acheteur et peut </w:t>
      </w:r>
      <w:r>
        <w:t>donner au cocontractant le sentiment que tout est matière à sanction, ce qui ne s</w:t>
      </w:r>
      <w:r w:rsidR="004E5798">
        <w:t>era</w:t>
      </w:r>
      <w:r>
        <w:t xml:space="preserve"> pas pour l’inciter à faire des efforts, ne sachant pas </w:t>
      </w:r>
      <w:r w:rsidR="00F52C7E">
        <w:t xml:space="preserve">différencier </w:t>
      </w:r>
      <w:r>
        <w:t xml:space="preserve">ce qui est réellement </w:t>
      </w:r>
      <w:r w:rsidR="004E5798">
        <w:t>important</w:t>
      </w:r>
      <w:r>
        <w:t xml:space="preserve"> de ce qui ne l’est pas.</w:t>
      </w:r>
    </w:p>
    <w:p w14:paraId="0F224BE4" w14:textId="5DB34071" w:rsidR="007B2681" w:rsidRPr="00DE682E" w:rsidRDefault="007B2681" w:rsidP="00BF4414">
      <w:pPr>
        <w:tabs>
          <w:tab w:val="left" w:pos="1256"/>
        </w:tabs>
        <w:spacing w:after="120"/>
        <w:jc w:val="both"/>
      </w:pPr>
      <w:r w:rsidRPr="00BF4414">
        <w:t xml:space="preserve">L’acheteur ne peut appliquer des </w:t>
      </w:r>
      <w:r w:rsidRPr="00F52C7E">
        <w:t xml:space="preserve">pénalités </w:t>
      </w:r>
      <w:r w:rsidR="00F52C7E" w:rsidRPr="00F52C7E">
        <w:t>au titulaire du marché</w:t>
      </w:r>
      <w:r w:rsidR="00F52C7E" w:rsidRPr="00BF4414">
        <w:t xml:space="preserve"> </w:t>
      </w:r>
      <w:r w:rsidRPr="00BF4414">
        <w:t xml:space="preserve">que si la </w:t>
      </w:r>
      <w:r w:rsidRPr="000310AC">
        <w:rPr>
          <w:b/>
        </w:rPr>
        <w:t>méconnaissance</w:t>
      </w:r>
      <w:r w:rsidRPr="00BF4414">
        <w:t xml:space="preserve"> des obligations contractuelles </w:t>
      </w:r>
      <w:r w:rsidR="00F52C7E">
        <w:t xml:space="preserve">lui </w:t>
      </w:r>
      <w:r w:rsidRPr="00BF4414">
        <w:t xml:space="preserve">est </w:t>
      </w:r>
      <w:r w:rsidRPr="000310AC">
        <w:rPr>
          <w:b/>
        </w:rPr>
        <w:t xml:space="preserve">imputable </w:t>
      </w:r>
      <w:r w:rsidRPr="00BF4414">
        <w:t>ou à l’un de ses sous-traitants</w:t>
      </w:r>
      <w:r w:rsidR="00DE682E">
        <w:t xml:space="preserve"> et qu’elle a été </w:t>
      </w:r>
      <w:r w:rsidR="00DE682E" w:rsidRPr="000310AC">
        <w:t>dûment constaté</w:t>
      </w:r>
      <w:r w:rsidR="00DE682E">
        <w:t>e</w:t>
      </w:r>
      <w:r w:rsidRPr="00BF4414">
        <w:t>.</w:t>
      </w:r>
      <w:r w:rsidRPr="00BF4414">
        <w:rPr>
          <w:sz w:val="16"/>
        </w:rPr>
        <w:t xml:space="preserve"> </w:t>
      </w:r>
      <w:r w:rsidRPr="00BF4414">
        <w:t>En cas de litige, le juge vérifiera si c</w:t>
      </w:r>
      <w:r w:rsidR="00DE682E">
        <w:t>es conditions sont bien remplies</w:t>
      </w:r>
      <w:r w:rsidRPr="00BF4414">
        <w:t xml:space="preserve">. Il est </w:t>
      </w:r>
      <w:r w:rsidR="00F52C7E">
        <w:t xml:space="preserve">ainsi </w:t>
      </w:r>
      <w:r w:rsidRPr="00BF4414">
        <w:t>important que les pénalités aient été établies sur la base d'un</w:t>
      </w:r>
      <w:r w:rsidR="00DE682E">
        <w:t xml:space="preserve"> détail précis des manquements. </w:t>
      </w:r>
      <w:r w:rsidRPr="00BF4414">
        <w:t xml:space="preserve">Il est par ailleurs conseillé de prévoir dans les documents contractuels si celles-ci devront ou non donner lieu à une </w:t>
      </w:r>
      <w:r w:rsidRPr="000310AC">
        <w:t>mise en demeure préalable</w:t>
      </w:r>
      <w:r w:rsidRPr="00BF4414">
        <w:t>.</w:t>
      </w:r>
    </w:p>
    <w:p w14:paraId="06A62858" w14:textId="35A88ED1" w:rsidR="000310AC" w:rsidRPr="00E229B0" w:rsidRDefault="00E229B0" w:rsidP="00E229B0">
      <w:pPr>
        <w:tabs>
          <w:tab w:val="left" w:pos="284"/>
        </w:tabs>
        <w:spacing w:after="120"/>
        <w:jc w:val="both"/>
      </w:pPr>
      <w:r w:rsidRPr="00E229B0">
        <w:rPr>
          <w:noProof/>
          <w:lang w:eastAsia="fr-FR"/>
        </w:rPr>
        <w:drawing>
          <wp:anchor distT="0" distB="0" distL="114300" distR="114300" simplePos="0" relativeHeight="251773952" behindDoc="1" locked="0" layoutInCell="1" allowOverlap="1" wp14:anchorId="0AFFF76B" wp14:editId="45F9143E">
            <wp:simplePos x="0" y="0"/>
            <wp:positionH relativeFrom="margin">
              <wp:align>left</wp:align>
            </wp:positionH>
            <wp:positionV relativeFrom="paragraph">
              <wp:posOffset>6350</wp:posOffset>
            </wp:positionV>
            <wp:extent cx="444500" cy="444500"/>
            <wp:effectExtent l="0" t="0" r="0" b="0"/>
            <wp:wrapTight wrapText="bothSides">
              <wp:wrapPolygon edited="0">
                <wp:start x="4629" y="0"/>
                <wp:lineTo x="0" y="2777"/>
                <wp:lineTo x="0" y="15737"/>
                <wp:lineTo x="3703" y="20366"/>
                <wp:lineTo x="4629" y="20366"/>
                <wp:lineTo x="15737" y="20366"/>
                <wp:lineTo x="17589" y="20366"/>
                <wp:lineTo x="20366" y="14811"/>
                <wp:lineTo x="20366" y="2777"/>
                <wp:lineTo x="15737" y="0"/>
                <wp:lineTo x="4629" y="0"/>
              </wp:wrapPolygon>
            </wp:wrapTight>
            <wp:docPr id="19" name="Image 19" descr="K:\1ESD\1C\COMMUN1C\11. Innovation\GT guide achats innovants\Projet de guide\Icônes\speedome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1ESD\1C\COMMUN1C\11. Innovation\GT guide achats innovants\Projet de guide\Icônes\speedometer.png"/>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flipV="1">
                      <a:off x="0" y="0"/>
                      <a:ext cx="44450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29B0">
        <w:t xml:space="preserve">Il convient </w:t>
      </w:r>
      <w:r w:rsidR="000310AC">
        <w:t>en outre</w:t>
      </w:r>
      <w:r w:rsidRPr="00E229B0">
        <w:t xml:space="preserve"> de </w:t>
      </w:r>
      <w:r w:rsidRPr="000310AC">
        <w:rPr>
          <w:b/>
        </w:rPr>
        <w:t>suivre le niveau cumulé</w:t>
      </w:r>
      <w:r w:rsidRPr="00E229B0">
        <w:t xml:space="preserve"> (valeur en €) </w:t>
      </w:r>
      <w:r w:rsidRPr="000310AC">
        <w:rPr>
          <w:b/>
        </w:rPr>
        <w:t>et la fréquence</w:t>
      </w:r>
      <w:r w:rsidRPr="00E229B0">
        <w:t xml:space="preserve"> </w:t>
      </w:r>
      <w:r w:rsidRPr="00653B83">
        <w:rPr>
          <w:b/>
        </w:rPr>
        <w:t>des pénalités</w:t>
      </w:r>
      <w:r w:rsidRPr="00E229B0">
        <w:t xml:space="preserve"> sur </w:t>
      </w:r>
      <w:r w:rsidR="002A37F2">
        <w:t xml:space="preserve">toute la durée du </w:t>
      </w:r>
      <w:r w:rsidRPr="00E229B0">
        <w:t xml:space="preserve">marché, car trop de répétition serait le signe de difficultés structurelles d’exécution, qui requièrent un </w:t>
      </w:r>
      <w:r w:rsidR="00653B83">
        <w:t>suivi</w:t>
      </w:r>
      <w:r w:rsidRPr="00E229B0">
        <w:t xml:space="preserve"> renforcé avec le titulaire et des actions correctrices. </w:t>
      </w:r>
      <w:r w:rsidR="00653B83">
        <w:t>Un plafond peut être envisagé, par exemple à hauteur de 10% du montant du marché.</w:t>
      </w:r>
    </w:p>
    <w:p w14:paraId="04DEE0FD" w14:textId="53DF6CDE" w:rsidR="000310AC" w:rsidRDefault="000310AC" w:rsidP="000310AC">
      <w:pPr>
        <w:tabs>
          <w:tab w:val="left" w:pos="284"/>
        </w:tabs>
        <w:spacing w:after="120"/>
        <w:jc w:val="both"/>
      </w:pPr>
      <w:r w:rsidRPr="00BF4414">
        <w:t xml:space="preserve">L’application des pénalités étant constitutive d’une prérogative de puissance publique, l’administration peut </w:t>
      </w:r>
      <w:r w:rsidRPr="000310AC">
        <w:t>ponctuellement y renoncer</w:t>
      </w:r>
      <w:r w:rsidRPr="00BF4414">
        <w:t xml:space="preserve"> par décision motivée. Ce principe trouve particulièrement à s’appliquer lorsque le titulaire du marché est une TPE/PME, pour lesquelles la mise en œuvre des pénalités peut avoir d’importantes conséquences financières.</w:t>
      </w:r>
    </w:p>
    <w:p w14:paraId="40C7DEF7" w14:textId="0E92EEBF" w:rsidR="003D519D" w:rsidRDefault="003D519D" w:rsidP="000310AC">
      <w:pPr>
        <w:tabs>
          <w:tab w:val="left" w:pos="284"/>
        </w:tabs>
        <w:spacing w:after="120"/>
        <w:jc w:val="both"/>
      </w:pPr>
      <w:r>
        <w:t xml:space="preserve">Enfin, </w:t>
      </w:r>
      <w:r w:rsidR="00CB526E">
        <w:t xml:space="preserve">selon une jurisprudence constante, </w:t>
      </w:r>
      <w:r w:rsidR="00CB526E" w:rsidRPr="00CB526E">
        <w:rPr>
          <w:b/>
        </w:rPr>
        <w:t>le juge administratif peut</w:t>
      </w:r>
      <w:r w:rsidR="00CB526E">
        <w:t xml:space="preserve">, à titre exceptionnel, </w:t>
      </w:r>
      <w:r w:rsidR="00CB526E" w:rsidRPr="00CB526E">
        <w:rPr>
          <w:b/>
        </w:rPr>
        <w:t>mod</w:t>
      </w:r>
      <w:r w:rsidR="00CB526E">
        <w:rPr>
          <w:b/>
        </w:rPr>
        <w:t xml:space="preserve">érer ou augmenter </w:t>
      </w:r>
      <w:r w:rsidR="00CB526E">
        <w:t xml:space="preserve">les pénalités résultant du contrat si elles atteignent un montant manifestement excessif ou dérisoire eu égard au montant du marché. </w:t>
      </w:r>
    </w:p>
    <w:p w14:paraId="51CF36D7" w14:textId="55F181C3" w:rsidR="007A133D" w:rsidRDefault="003D5022" w:rsidP="00DA67E0">
      <w:pPr>
        <w:pStyle w:val="Titre2"/>
        <w:spacing w:before="180" w:after="240"/>
      </w:pPr>
      <w:bookmarkStart w:id="44" w:name="_Toc7425948"/>
      <w:r>
        <w:t>Recours aux c</w:t>
      </w:r>
      <w:r w:rsidR="007A133D">
        <w:t>lauses incitatives</w:t>
      </w:r>
      <w:bookmarkEnd w:id="44"/>
    </w:p>
    <w:p w14:paraId="0AF6CFBC" w14:textId="63086F34" w:rsidR="005A1790" w:rsidRDefault="005A1790" w:rsidP="00BF4414">
      <w:pPr>
        <w:tabs>
          <w:tab w:val="left" w:pos="284"/>
        </w:tabs>
        <w:spacing w:after="120"/>
        <w:jc w:val="both"/>
        <w:rPr>
          <w:b/>
        </w:rPr>
      </w:pPr>
      <w:r w:rsidRPr="006D739D">
        <w:rPr>
          <w:noProof/>
          <w:lang w:eastAsia="fr-FR"/>
        </w:rPr>
        <w:drawing>
          <wp:anchor distT="0" distB="0" distL="114300" distR="114300" simplePos="0" relativeHeight="251796480" behindDoc="0" locked="0" layoutInCell="1" allowOverlap="1" wp14:anchorId="30ED0A88" wp14:editId="19CB820A">
            <wp:simplePos x="0" y="0"/>
            <wp:positionH relativeFrom="margin">
              <wp:align>left</wp:align>
            </wp:positionH>
            <wp:positionV relativeFrom="paragraph">
              <wp:posOffset>6568</wp:posOffset>
            </wp:positionV>
            <wp:extent cx="374650" cy="340360"/>
            <wp:effectExtent l="0" t="0" r="6350" b="2540"/>
            <wp:wrapSquare wrapText="bothSides"/>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74650" cy="340360"/>
                    </a:xfrm>
                    <a:prstGeom prst="rect">
                      <a:avLst/>
                    </a:prstGeom>
                  </pic:spPr>
                </pic:pic>
              </a:graphicData>
            </a:graphic>
            <wp14:sizeRelH relativeFrom="page">
              <wp14:pctWidth>0</wp14:pctWidth>
            </wp14:sizeRelH>
            <wp14:sizeRelV relativeFrom="page">
              <wp14:pctHeight>0</wp14:pctHeight>
            </wp14:sizeRelV>
          </wp:anchor>
        </w:drawing>
      </w:r>
      <w:r w:rsidR="00135305">
        <w:t>S</w:t>
      </w:r>
      <w:r w:rsidR="007B2681" w:rsidRPr="00BF4414">
        <w:t xml:space="preserve">i la fixation de pénalités parait légitime pour prévenir tout écart contractuel, le titulaire du marché et ses sous-traitants peuvent aussi être motivés positivement par l’usage de </w:t>
      </w:r>
      <w:r w:rsidR="007B2681" w:rsidRPr="00C36BD0">
        <w:rPr>
          <w:b/>
        </w:rPr>
        <w:t>clauses incitatives</w:t>
      </w:r>
      <w:r w:rsidR="007B2681" w:rsidRPr="00BF4414">
        <w:t xml:space="preserve"> </w:t>
      </w:r>
      <w:r w:rsidR="007B2681" w:rsidRPr="00A01A6D">
        <w:rPr>
          <w:b/>
        </w:rPr>
        <w:t>ou clauses de performance</w:t>
      </w:r>
      <w:r w:rsidRPr="00BF4414">
        <w:rPr>
          <w:rStyle w:val="Appelnotedebasdep"/>
        </w:rPr>
        <w:footnoteReference w:id="54"/>
      </w:r>
      <w:r w:rsidR="009960A8" w:rsidRPr="009960A8">
        <w:t>, dans la mesure où celles-ci ne remettent pas en cause le principe de prix définitif et ne constituent pas une part déterminante de la rémunération.</w:t>
      </w:r>
    </w:p>
    <w:p w14:paraId="13CAD78B" w14:textId="77777777" w:rsidR="00155E8F" w:rsidRDefault="005A1790" w:rsidP="00BF4414">
      <w:pPr>
        <w:tabs>
          <w:tab w:val="left" w:pos="284"/>
        </w:tabs>
        <w:spacing w:after="120"/>
        <w:jc w:val="both"/>
      </w:pPr>
      <w:r w:rsidRPr="005A1790">
        <w:t xml:space="preserve">En effet, </w:t>
      </w:r>
      <w:r>
        <w:t xml:space="preserve">si le prix doit procéder autant que possible d'un partage des risques entre l'acheteur public et le titulaire du marché, avec la préoccupation de protéger ce dernier contre les conséquences des aléas les plus lourds, il peut aussi constituer une incitation à </w:t>
      </w:r>
      <w:r w:rsidR="007B2681" w:rsidRPr="00BF4414">
        <w:t xml:space="preserve">améliorer les délais d'exécution, </w:t>
      </w:r>
      <w:r>
        <w:t>à</w:t>
      </w:r>
      <w:r w:rsidR="007B2681" w:rsidRPr="00BF4414">
        <w:t xml:space="preserve"> rechercher une meilleure qualité des prestations et </w:t>
      </w:r>
      <w:r>
        <w:t>à</w:t>
      </w:r>
      <w:r w:rsidR="007B2681" w:rsidRPr="00BF4414">
        <w:t xml:space="preserve"> réduire les coûts de production</w:t>
      </w:r>
      <w:r>
        <w:t xml:space="preserve"> ou de fonctionnement</w:t>
      </w:r>
      <w:r w:rsidR="007B2681" w:rsidRPr="00BF4414">
        <w:t xml:space="preserve">. </w:t>
      </w:r>
    </w:p>
    <w:p w14:paraId="1A89D20D" w14:textId="573735F1" w:rsidR="007B2681" w:rsidRPr="00BF4414" w:rsidRDefault="00155E8F" w:rsidP="00BF4414">
      <w:pPr>
        <w:tabs>
          <w:tab w:val="left" w:pos="284"/>
        </w:tabs>
        <w:spacing w:after="120"/>
        <w:jc w:val="both"/>
      </w:pPr>
      <w:r>
        <w:t xml:space="preserve">Les clauses incitatives permettent ainsi </w:t>
      </w:r>
      <w:r w:rsidRPr="00155E8F">
        <w:t xml:space="preserve">une répartition équitable entre les deux parties des bénéfices tirés d’une </w:t>
      </w:r>
      <w:r w:rsidRPr="00155E8F">
        <w:rPr>
          <w:b/>
        </w:rPr>
        <w:t>situation meilleure que le minimum prévu</w:t>
      </w:r>
      <w:r w:rsidRPr="00155E8F">
        <w:t xml:space="preserve"> par le marché</w:t>
      </w:r>
      <w:r>
        <w:rPr>
          <w:i/>
          <w:iCs/>
        </w:rPr>
        <w:t xml:space="preserve">. </w:t>
      </w:r>
      <w:r>
        <w:t>Exemples : p</w:t>
      </w:r>
      <w:r w:rsidRPr="00155E8F">
        <w:t>rimes d'avance</w:t>
      </w:r>
      <w:r w:rsidR="009960A8">
        <w:t xml:space="preserve"> forfaitaires</w:t>
      </w:r>
      <w:r w:rsidRPr="00155E8F">
        <w:t xml:space="preserve"> </w:t>
      </w:r>
      <w:r>
        <w:t>(</w:t>
      </w:r>
      <w:r w:rsidRPr="00155E8F">
        <w:t>dans les cas spécifiques où l'acheteur a</w:t>
      </w:r>
      <w:r>
        <w:t xml:space="preserve"> un réel</w:t>
      </w:r>
      <w:r w:rsidRPr="00155E8F">
        <w:t xml:space="preserve"> intérêt à la réduction du délai prévu au contrat</w:t>
      </w:r>
      <w:r>
        <w:t xml:space="preserve">), </w:t>
      </w:r>
      <w:r w:rsidRPr="00155E8F">
        <w:t>primes pour dépassement de performances, intéressement au bon fonctionnement</w:t>
      </w:r>
      <w:r>
        <w:t>, etc.</w:t>
      </w:r>
    </w:p>
    <w:p w14:paraId="52AE16F6" w14:textId="6953FFD7" w:rsidR="00BD7A84" w:rsidRDefault="00155E8F" w:rsidP="00E503DE">
      <w:pPr>
        <w:spacing w:after="120"/>
        <w:jc w:val="both"/>
        <w:rPr>
          <w:color w:val="FF0000"/>
        </w:rPr>
      </w:pPr>
      <w:r w:rsidRPr="00470133">
        <w:rPr>
          <w:noProof/>
          <w:color w:val="FF0000"/>
          <w:lang w:eastAsia="fr-FR"/>
        </w:rPr>
        <w:drawing>
          <wp:anchor distT="0" distB="0" distL="114300" distR="114300" simplePos="0" relativeHeight="251789312" behindDoc="1" locked="0" layoutInCell="1" allowOverlap="1" wp14:anchorId="7B4AB89C" wp14:editId="72FDF5C7">
            <wp:simplePos x="0" y="0"/>
            <wp:positionH relativeFrom="margin">
              <wp:align>right</wp:align>
            </wp:positionH>
            <wp:positionV relativeFrom="paragraph">
              <wp:posOffset>4312</wp:posOffset>
            </wp:positionV>
            <wp:extent cx="436245" cy="436245"/>
            <wp:effectExtent l="0" t="0" r="1905" b="1905"/>
            <wp:wrapTight wrapText="bothSides">
              <wp:wrapPolygon edited="0">
                <wp:start x="13205" y="0"/>
                <wp:lineTo x="0" y="16978"/>
                <wp:lineTo x="0" y="20751"/>
                <wp:lineTo x="20751" y="20751"/>
                <wp:lineTo x="20751" y="4716"/>
                <wp:lineTo x="18865" y="0"/>
                <wp:lineTo x="13205" y="0"/>
              </wp:wrapPolygon>
            </wp:wrapTight>
            <wp:docPr id="51" name="Image 51" descr="K:\1ESD\1C\COMMUN1C\06. OECP\3 - GT OECP\GT_acces-TPE-PME\Projet de guide\Icônes\grow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1ESD\1C\COMMUN1C\06. OECP\3 - GT OECP\GT_acces-TPE-PME\Projet de guide\Icônes\growth.png"/>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36245" cy="436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2681" w:rsidRPr="00470133">
        <w:rPr>
          <w:color w:val="FF0000"/>
        </w:rPr>
        <w:t>La mise en place de telles clauses suppose que des objectifs de performance aient été préalablement établis et qu’ils soient quantifiables /</w:t>
      </w:r>
      <w:r w:rsidR="00BD7A84" w:rsidRPr="00470133">
        <w:rPr>
          <w:color w:val="FF0000"/>
        </w:rPr>
        <w:t xml:space="preserve"> </w:t>
      </w:r>
      <w:r w:rsidR="007B2681" w:rsidRPr="00470133">
        <w:rPr>
          <w:color w:val="FF0000"/>
        </w:rPr>
        <w:t xml:space="preserve">mesurables sur une période de temps et un champ bien définis, en référence à une situation minimale. </w:t>
      </w:r>
    </w:p>
    <w:p w14:paraId="5C0614C7" w14:textId="77777777" w:rsidR="003D519D" w:rsidRDefault="003D519D" w:rsidP="002A37F2">
      <w:pPr>
        <w:pStyle w:val="Exemple"/>
        <w:framePr w:wrap="auto" w:vAnchor="margin" w:yAlign="inline"/>
        <w:spacing w:after="60"/>
      </w:pPr>
      <w:r w:rsidRPr="000310AC">
        <w:t>La SNCF met ainsi en œu</w:t>
      </w:r>
      <w:r>
        <w:t xml:space="preserve">vre des clauses de </w:t>
      </w:r>
      <w:r w:rsidRPr="002A37F2">
        <w:t>bonus/malus dans le domaine du nettoyage des gares</w:t>
      </w:r>
      <w:r>
        <w:t xml:space="preserve"> notamment. </w:t>
      </w:r>
    </w:p>
    <w:p w14:paraId="74C806B2" w14:textId="38B5D027" w:rsidR="002A37F2" w:rsidRDefault="002A37F2" w:rsidP="002A37F2">
      <w:pPr>
        <w:pStyle w:val="Exemple"/>
        <w:framePr w:wrap="auto" w:vAnchor="margin" w:yAlign="inline"/>
        <w:spacing w:after="60"/>
      </w:pPr>
      <w:r w:rsidRPr="000310AC">
        <w:t xml:space="preserve">Des clauses incitatives sont également </w:t>
      </w:r>
      <w:r>
        <w:t xml:space="preserve">utilisées dans </w:t>
      </w:r>
      <w:r w:rsidRPr="000310AC">
        <w:t xml:space="preserve">des </w:t>
      </w:r>
      <w:r w:rsidRPr="002A37F2">
        <w:t>marchés locaux de déchets</w:t>
      </w:r>
      <w:r>
        <w:t>. Par exemple, dans la consultation relative à l’exploitation des déchèteries, la métropole de Brest a prévu une clause de performance afin de favoriser l’optimisation du tri en fonction de la nature des déchets.</w:t>
      </w:r>
    </w:p>
    <w:p w14:paraId="2EA6EB7C" w14:textId="3EDEB2F4" w:rsidR="002A37F2" w:rsidRDefault="002A37F2" w:rsidP="002A37F2">
      <w:pPr>
        <w:pStyle w:val="Exemple"/>
        <w:framePr w:wrap="auto" w:vAnchor="margin" w:yAlign="inline"/>
        <w:spacing w:after="0"/>
      </w:pPr>
      <w:r>
        <w:lastRenderedPageBreak/>
        <w:t>E</w:t>
      </w:r>
      <w:r w:rsidRPr="00DE682E">
        <w:t>n cas de gains pour la collectivité, le titulaire se v</w:t>
      </w:r>
      <w:r>
        <w:t>oit</w:t>
      </w:r>
      <w:r w:rsidRPr="00DE682E">
        <w:t xml:space="preserve"> attribuer une partie de ceux-ci, en cas de pertes, une pénalité </w:t>
      </w:r>
      <w:r>
        <w:t>est</w:t>
      </w:r>
      <w:r w:rsidRPr="00DE682E">
        <w:t xml:space="preserve"> appliquée</w:t>
      </w:r>
      <w:r>
        <w:t>. Après mise en œuvre d’une formule (prenant en compte les tonnages de l’année précédente et de l’année en cours), l</w:t>
      </w:r>
      <w:r w:rsidRPr="00B666C1">
        <w:t xml:space="preserve">a </w:t>
      </w:r>
      <w:r>
        <w:t>c</w:t>
      </w:r>
      <w:r w:rsidRPr="00B666C1">
        <w:t xml:space="preserve">lause de performance </w:t>
      </w:r>
      <w:r>
        <w:t>est</w:t>
      </w:r>
      <w:r w:rsidRPr="00B666C1">
        <w:t xml:space="preserve"> plafonnée :</w:t>
      </w:r>
    </w:p>
    <w:p w14:paraId="54A4C6D7" w14:textId="77777777" w:rsidR="002A37F2" w:rsidRDefault="002A37F2" w:rsidP="002A37F2">
      <w:pPr>
        <w:pBdr>
          <w:top w:val="single" w:sz="12" w:space="1" w:color="5D2884" w:shadow="1"/>
          <w:left w:val="single" w:sz="12" w:space="4" w:color="5D2884" w:shadow="1"/>
          <w:bottom w:val="single" w:sz="12" w:space="1" w:color="5D2884" w:shadow="1"/>
          <w:right w:val="single" w:sz="12" w:space="4" w:color="5D2884" w:shadow="1"/>
        </w:pBdr>
        <w:spacing w:before="0" w:after="0"/>
        <w:jc w:val="both"/>
      </w:pPr>
      <w:r>
        <w:t>-</w:t>
      </w:r>
      <w:r w:rsidRPr="00B666C1">
        <w:t xml:space="preserve"> </w:t>
      </w:r>
      <w:r>
        <w:t xml:space="preserve">à </w:t>
      </w:r>
      <w:r w:rsidRPr="00B666C1">
        <w:t>10</w:t>
      </w:r>
      <w:r>
        <w:t xml:space="preserve"> </w:t>
      </w:r>
      <w:r w:rsidRPr="00B666C1">
        <w:t>%</w:t>
      </w:r>
      <w:r>
        <w:t xml:space="preserve"> du montant annuel du marché de l’année n pour les gains,</w:t>
      </w:r>
    </w:p>
    <w:p w14:paraId="4E9A44BE" w14:textId="524FAE26" w:rsidR="003D519D" w:rsidRDefault="002A37F2" w:rsidP="002A37F2">
      <w:pPr>
        <w:pBdr>
          <w:top w:val="single" w:sz="12" w:space="1" w:color="5D2884" w:shadow="1"/>
          <w:left w:val="single" w:sz="12" w:space="4" w:color="5D2884" w:shadow="1"/>
          <w:bottom w:val="single" w:sz="12" w:space="1" w:color="5D2884" w:shadow="1"/>
          <w:right w:val="single" w:sz="12" w:space="4" w:color="5D2884" w:shadow="1"/>
        </w:pBdr>
        <w:spacing w:before="0" w:after="0"/>
        <w:jc w:val="both"/>
      </w:pPr>
      <w:r>
        <w:t>- à 7 % du montant annuel du marché de l’année n pour les pertes.</w:t>
      </w:r>
    </w:p>
    <w:p w14:paraId="38BC9C53" w14:textId="670E34D0" w:rsidR="0061521C" w:rsidRPr="0061521C" w:rsidRDefault="009422C5" w:rsidP="0061521C">
      <w:pPr>
        <w:pStyle w:val="Titre2"/>
        <w:spacing w:before="360"/>
        <w:rPr>
          <w:color w:val="FFFFFF" w:themeColor="background1"/>
          <w:sz w:val="22"/>
          <w:szCs w:val="22"/>
        </w:rPr>
      </w:pPr>
      <w:bookmarkStart w:id="45" w:name="_Toc7425949"/>
      <w:r>
        <w:t>Recours aux clauses de ré</w:t>
      </w:r>
      <w:r w:rsidR="002C0592">
        <w:t>examen</w:t>
      </w:r>
      <w:bookmarkEnd w:id="45"/>
    </w:p>
    <w:p w14:paraId="093EF2A6" w14:textId="723EA21C" w:rsidR="0087278F" w:rsidRDefault="00A071CC" w:rsidP="002B3B37">
      <w:pPr>
        <w:spacing w:before="240" w:after="120"/>
        <w:jc w:val="both"/>
      </w:pPr>
      <w:r w:rsidRPr="00A071CC">
        <w:rPr>
          <w:noProof/>
          <w:szCs w:val="23"/>
          <w:lang w:eastAsia="fr-FR"/>
        </w:rPr>
        <w:drawing>
          <wp:anchor distT="0" distB="0" distL="114300" distR="114300" simplePos="0" relativeHeight="251822080" behindDoc="0" locked="0" layoutInCell="1" allowOverlap="1" wp14:anchorId="2D3BAD68" wp14:editId="343C0315">
            <wp:simplePos x="0" y="0"/>
            <wp:positionH relativeFrom="margin">
              <wp:align>left</wp:align>
            </wp:positionH>
            <wp:positionV relativeFrom="paragraph">
              <wp:posOffset>81413</wp:posOffset>
            </wp:positionV>
            <wp:extent cx="347980" cy="347980"/>
            <wp:effectExtent l="0" t="0" r="0" b="0"/>
            <wp:wrapSquare wrapText="bothSides"/>
            <wp:docPr id="61" name="Image 61" descr="K:\1ESD\1C\COMMUN1C\06. OECP\3 - GT OECP\GT_acces-TPE-PME\Projet de guide\Icônes\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1ESD\1C\COMMUN1C\06. OECP\3 - GT OECP\GT_acces-TPE-PME\Projet de guide\Icônes\book.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flipH="1">
                      <a:off x="0" y="0"/>
                      <a:ext cx="347980"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L’article </w:t>
      </w:r>
      <w:r w:rsidR="002B3B37" w:rsidRPr="002B3B37">
        <w:t>R</w:t>
      </w:r>
      <w:r w:rsidR="002B3B37">
        <w:t xml:space="preserve">. </w:t>
      </w:r>
      <w:r w:rsidR="002B3B37" w:rsidRPr="002B3B37">
        <w:t>2194-1</w:t>
      </w:r>
      <w:r>
        <w:t xml:space="preserve"> du CCP dispose que : « </w:t>
      </w:r>
      <w:r w:rsidRPr="00A071CC">
        <w:rPr>
          <w:i/>
        </w:rPr>
        <w:t>le marché peut être modifié lorsque les modifications, quel que soit leur montant, ont été prévues dans les documents contractuels initiaux sous la forme de clauses de réexamen, dont des clauses de variation du prix ou d'options claires, précises et sans équivoque.</w:t>
      </w:r>
      <w:r w:rsidRPr="00A071CC">
        <w:rPr>
          <w:i/>
        </w:rPr>
        <w:br/>
        <w:t>Ces clauses indiquent le champ d'application et la nature des modifications ou options envisageables ainsi que les conditions dans lesquelles il peut en être fait usage</w:t>
      </w:r>
      <w:r>
        <w:t> ».</w:t>
      </w:r>
    </w:p>
    <w:p w14:paraId="68E6E50D" w14:textId="77777777" w:rsidR="00C06C52" w:rsidRDefault="00502BC5" w:rsidP="001C1B74">
      <w:pPr>
        <w:spacing w:before="120" w:after="120"/>
        <w:jc w:val="both"/>
      </w:pPr>
      <w:r>
        <w:t xml:space="preserve">Les clauses de réexamen </w:t>
      </w:r>
      <w:r w:rsidR="00640DED">
        <w:t xml:space="preserve">doivent </w:t>
      </w:r>
      <w:r w:rsidR="00CA5A45">
        <w:t>ê</w:t>
      </w:r>
      <w:r w:rsidR="00640DED">
        <w:t xml:space="preserve">tre anticipées dès la rédaction du contrat, en particulier les dispositions relatives aux </w:t>
      </w:r>
      <w:r w:rsidR="00640DED" w:rsidRPr="00640DED">
        <w:rPr>
          <w:b/>
        </w:rPr>
        <w:t>options</w:t>
      </w:r>
      <w:r w:rsidR="00640DED">
        <w:t xml:space="preserve">, qui recouvrent </w:t>
      </w:r>
      <w:r w:rsidR="00640DED" w:rsidRPr="00640DED">
        <w:t>notamment les tranches optionnelles, les reconductions ou les prestations complémentaires</w:t>
      </w:r>
      <w:r w:rsidR="00640DED">
        <w:t xml:space="preserve">. </w:t>
      </w:r>
      <w:r w:rsidR="001C1B74">
        <w:t xml:space="preserve">Le cas des </w:t>
      </w:r>
      <w:r w:rsidR="001C1B74" w:rsidRPr="00640DED">
        <w:rPr>
          <w:b/>
        </w:rPr>
        <w:t>variations de prix</w:t>
      </w:r>
      <w:r w:rsidR="001C1B74">
        <w:t xml:space="preserve"> est traité spécifiquement (cf. </w:t>
      </w:r>
      <w:hyperlink w:anchor="_Fiche_15_:" w:history="1">
        <w:r w:rsidR="001C1B74" w:rsidRPr="002B3B37">
          <w:rPr>
            <w:rStyle w:val="Lienhypertexte"/>
          </w:rPr>
          <w:t>fiche 15</w:t>
        </w:r>
      </w:hyperlink>
      <w:r w:rsidR="001C1B74">
        <w:t>).</w:t>
      </w:r>
      <w:r w:rsidR="00C06C52">
        <w:t xml:space="preserve"> </w:t>
      </w:r>
    </w:p>
    <w:p w14:paraId="2C0A9AD0" w14:textId="7CEE0041" w:rsidR="001C1B74" w:rsidRDefault="00C06C52" w:rsidP="001C1B74">
      <w:pPr>
        <w:spacing w:before="120" w:after="120"/>
        <w:jc w:val="both"/>
      </w:pPr>
      <w:r>
        <w:t xml:space="preserve">Le champ des clauses de réexamen n’est cependant pas énuméré limitativement par l’article </w:t>
      </w:r>
      <w:r w:rsidRPr="002B3B37">
        <w:t>R</w:t>
      </w:r>
      <w:r>
        <w:t xml:space="preserve">. </w:t>
      </w:r>
      <w:r w:rsidRPr="002B3B37">
        <w:t>2194-1</w:t>
      </w:r>
      <w:r>
        <w:t xml:space="preserve">, aussi d’autres cas pourraient être traités par les acheteurs </w:t>
      </w:r>
      <w:r w:rsidRPr="00C06C52">
        <w:rPr>
          <w:i/>
        </w:rPr>
        <w:t>via</w:t>
      </w:r>
      <w:r>
        <w:t xml:space="preserve"> ce dispositif. </w:t>
      </w:r>
    </w:p>
    <w:p w14:paraId="0E533F86" w14:textId="6B04FBC4" w:rsidR="00502BC5" w:rsidRDefault="001C1B74" w:rsidP="00586288">
      <w:pPr>
        <w:spacing w:before="120" w:after="120"/>
        <w:jc w:val="both"/>
      </w:pPr>
      <w:r>
        <w:t xml:space="preserve">Ces clauses peuvent être déclenchées unilatéralement par l’acheteur, dès lors qu’un évènement </w:t>
      </w:r>
      <w:r w:rsidR="00521839">
        <w:t>pré</w:t>
      </w:r>
      <w:r>
        <w:t xml:space="preserve">déterminé survient, ou bien elles </w:t>
      </w:r>
      <w:r w:rsidR="007F5BA8">
        <w:t>pe</w:t>
      </w:r>
      <w:r>
        <w:t>uvent donner lieu à négociation avec le titulaire et s’apparentent dès lors à une clause de « rendez-vous »</w:t>
      </w:r>
      <w:r w:rsidR="00046191">
        <w:t xml:space="preserve"> (ex : changement de certaines références du bordereau des prix unitaires, du fait des évolutions technologiques).</w:t>
      </w:r>
    </w:p>
    <w:p w14:paraId="0FC1EB1B" w14:textId="73C8ECCF" w:rsidR="00CA5A45" w:rsidRDefault="00CA5A45" w:rsidP="00586288">
      <w:pPr>
        <w:spacing w:before="120" w:after="120"/>
        <w:jc w:val="both"/>
      </w:pPr>
      <w:r>
        <w:t xml:space="preserve">L’intérêt de ces clauses est évident : elles permettent de traiter un certain nombre d’évènements dont la survenance n’est pas certaine, mais dont la réalisation sera facilitée par la prévision en amont. Il est par ailleurs important de noter qu’elles ne sont </w:t>
      </w:r>
      <w:r w:rsidRPr="00CA5A45">
        <w:rPr>
          <w:b/>
        </w:rPr>
        <w:t>pas plafonnées financièrement</w:t>
      </w:r>
      <w:r>
        <w:t>.</w:t>
      </w:r>
    </w:p>
    <w:p w14:paraId="54864265" w14:textId="29B5AEE1" w:rsidR="00AB2183" w:rsidRDefault="00AB2183" w:rsidP="00AB2183">
      <w:pPr>
        <w:pStyle w:val="Exemple"/>
        <w:framePr w:wrap="around"/>
      </w:pPr>
      <w:r w:rsidRPr="00A05752">
        <w:rPr>
          <w:highlight w:val="yellow"/>
        </w:rPr>
        <w:t>Exemple de clause de réexamen </w:t>
      </w:r>
      <w:r w:rsidR="00137300">
        <w:rPr>
          <w:highlight w:val="yellow"/>
        </w:rPr>
        <w:t xml:space="preserve">(hors variation des prix) </w:t>
      </w:r>
      <w:r w:rsidRPr="00A05752">
        <w:rPr>
          <w:highlight w:val="yellow"/>
        </w:rPr>
        <w:t>?</w:t>
      </w:r>
      <w:r>
        <w:tab/>
      </w:r>
      <w:r>
        <w:tab/>
      </w:r>
      <w:r>
        <w:tab/>
      </w:r>
      <w:r>
        <w:tab/>
      </w:r>
      <w:r>
        <w:tab/>
      </w:r>
      <w:r>
        <w:tab/>
      </w:r>
      <w:r>
        <w:tab/>
      </w:r>
      <w:r>
        <w:tab/>
      </w:r>
      <w:r>
        <w:tab/>
      </w:r>
      <w:r>
        <w:tab/>
        <w:t xml:space="preserve"> </w:t>
      </w:r>
    </w:p>
    <w:p w14:paraId="22A6098D" w14:textId="0573F46A" w:rsidR="00502BC5" w:rsidRDefault="00502BC5" w:rsidP="00AB2183">
      <w:pPr>
        <w:spacing w:before="300" w:after="120"/>
        <w:jc w:val="both"/>
      </w:pPr>
      <w:r>
        <w:t xml:space="preserve">En complément des clauses de réexamen, les parties à un contrat seront généralement incitées à conclure un </w:t>
      </w:r>
      <w:r w:rsidRPr="00502BC5">
        <w:rPr>
          <w:b/>
        </w:rPr>
        <w:t>avenant</w:t>
      </w:r>
      <w:r>
        <w:t xml:space="preserve"> (même si le code de la commande publique ne fait pas référence à cette notion) pour procéder à des </w:t>
      </w:r>
      <w:r w:rsidRPr="00502BC5">
        <w:rPr>
          <w:b/>
        </w:rPr>
        <w:t>modifications imprévues</w:t>
      </w:r>
      <w:r>
        <w:t xml:space="preserve"> en cours d’exécution.</w:t>
      </w:r>
    </w:p>
    <w:p w14:paraId="7E84F5CA" w14:textId="02723889" w:rsidR="0061521C" w:rsidRDefault="0061521C" w:rsidP="001B7979">
      <w:pPr>
        <w:spacing w:before="120" w:after="60"/>
        <w:jc w:val="both"/>
      </w:pPr>
      <w:r>
        <w:t>La modification des contrats en cours d’exécution est encadrée par l’article L. 2194-1 du CCP, dont les dispositions sont inspirées de la jurisprudence de la Cour de justice de l’Union européenne (CJUE). Ainsi, l’acheteur peut modifier régulièrement son contrat initial sans nouvelle procédure de mise en concurrence lorsque l’une des conditions suivantes est remplie :</w:t>
      </w:r>
    </w:p>
    <w:p w14:paraId="0064CE2C" w14:textId="28A15081" w:rsidR="001B7979" w:rsidRDefault="0061521C" w:rsidP="001B7979">
      <w:pPr>
        <w:pStyle w:val="Paragraphedeliste"/>
        <w:numPr>
          <w:ilvl w:val="0"/>
          <w:numId w:val="43"/>
        </w:numPr>
        <w:spacing w:before="60" w:after="120"/>
        <w:jc w:val="both"/>
      </w:pPr>
      <w:r>
        <w:t xml:space="preserve">les modifications ont été prévues dans les documents contractuels initiaux </w:t>
      </w:r>
      <w:r w:rsidR="00891080">
        <w:t xml:space="preserve">(= clauses de réexamen) </w:t>
      </w:r>
      <w:r>
        <w:t>;</w:t>
      </w:r>
    </w:p>
    <w:p w14:paraId="3D8C7723" w14:textId="77777777" w:rsidR="001B7979" w:rsidRDefault="0061521C" w:rsidP="0061521C">
      <w:pPr>
        <w:pStyle w:val="Paragraphedeliste"/>
        <w:numPr>
          <w:ilvl w:val="0"/>
          <w:numId w:val="43"/>
        </w:numPr>
        <w:spacing w:before="120" w:after="120"/>
        <w:jc w:val="both"/>
      </w:pPr>
      <w:r>
        <w:t>des travaux, fournitures ou services supplémentaires sont devenus nécessaires ;</w:t>
      </w:r>
    </w:p>
    <w:p w14:paraId="634CD2E2" w14:textId="77777777" w:rsidR="001B7979" w:rsidRDefault="0061521C" w:rsidP="0061521C">
      <w:pPr>
        <w:pStyle w:val="Paragraphedeliste"/>
        <w:numPr>
          <w:ilvl w:val="0"/>
          <w:numId w:val="43"/>
        </w:numPr>
        <w:spacing w:before="120" w:after="120"/>
        <w:jc w:val="both"/>
      </w:pPr>
      <w:r>
        <w:t>les modifications sont rendues nécessaires par des circonstances imprévues ;</w:t>
      </w:r>
    </w:p>
    <w:p w14:paraId="17353D3B" w14:textId="77777777" w:rsidR="001B7979" w:rsidRDefault="0061521C" w:rsidP="0061521C">
      <w:pPr>
        <w:pStyle w:val="Paragraphedeliste"/>
        <w:numPr>
          <w:ilvl w:val="0"/>
          <w:numId w:val="43"/>
        </w:numPr>
        <w:spacing w:before="120" w:after="120"/>
        <w:jc w:val="both"/>
      </w:pPr>
      <w:r>
        <w:t>un nouveau titulaire se substitue au titulaire initial du marché ;</w:t>
      </w:r>
    </w:p>
    <w:p w14:paraId="5F71AB1A" w14:textId="77777777" w:rsidR="001B7979" w:rsidRDefault="0061521C" w:rsidP="0061521C">
      <w:pPr>
        <w:pStyle w:val="Paragraphedeliste"/>
        <w:numPr>
          <w:ilvl w:val="0"/>
          <w:numId w:val="43"/>
        </w:numPr>
        <w:spacing w:before="120" w:after="120"/>
        <w:jc w:val="both"/>
      </w:pPr>
      <w:r>
        <w:t>les modifications ne sont pas substantielles ;</w:t>
      </w:r>
    </w:p>
    <w:p w14:paraId="4C7429F3" w14:textId="26BDEEB2" w:rsidR="00502BC5" w:rsidRDefault="0061521C" w:rsidP="0061521C">
      <w:pPr>
        <w:pStyle w:val="Paragraphedeliste"/>
        <w:numPr>
          <w:ilvl w:val="0"/>
          <w:numId w:val="43"/>
        </w:numPr>
        <w:spacing w:before="120" w:after="120"/>
        <w:jc w:val="both"/>
      </w:pPr>
      <w:r>
        <w:t>les modifications sont de faibles montants.</w:t>
      </w:r>
    </w:p>
    <w:p w14:paraId="316EF9D2" w14:textId="6E8733C2" w:rsidR="001B0A3B" w:rsidRDefault="001B0A3B" w:rsidP="001B0A3B">
      <w:pPr>
        <w:spacing w:before="120" w:after="120"/>
        <w:jc w:val="both"/>
      </w:pPr>
      <w:r>
        <w:t xml:space="preserve">En tout état de causes, les avenants doivent faire l’objet </w:t>
      </w:r>
    </w:p>
    <w:p w14:paraId="41E58F2D" w14:textId="19D2563E" w:rsidR="00AE47DB" w:rsidRPr="00166D21" w:rsidRDefault="00FB4F3E" w:rsidP="00166D21">
      <w:pPr>
        <w:jc w:val="both"/>
      </w:pPr>
      <w:r w:rsidRPr="00FB4F3E">
        <w:t xml:space="preserve">Pour aller plus loin, vous pouvez consulter la fiche de la DAJ dédiée </w:t>
      </w:r>
      <w:r>
        <w:t xml:space="preserve">aux </w:t>
      </w:r>
      <w:hyperlink r:id="rId81" w:history="1">
        <w:r w:rsidRPr="00FB4F3E">
          <w:rPr>
            <w:rStyle w:val="Lienhypertexte"/>
          </w:rPr>
          <w:t>modalités de modification des contrats en cours d’exécution</w:t>
        </w:r>
      </w:hyperlink>
      <w:r w:rsidR="0061521C">
        <w:t>, qui détaille l’ensemble des cas possibles de modification</w:t>
      </w:r>
      <w:r>
        <w:t>.</w:t>
      </w:r>
      <w:r w:rsidR="00AE47DB">
        <w:br w:type="page"/>
      </w:r>
    </w:p>
    <w:p w14:paraId="6F674B15" w14:textId="2D7A24E1" w:rsidR="00B82771" w:rsidRDefault="00B82771" w:rsidP="000B3095">
      <w:pPr>
        <w:pStyle w:val="Titre1"/>
        <w:spacing w:after="240"/>
      </w:pPr>
      <w:bookmarkStart w:id="46" w:name="_Fiche_15_:"/>
      <w:bookmarkStart w:id="47" w:name="_Toc7425950"/>
      <w:bookmarkEnd w:id="46"/>
      <w:r>
        <w:lastRenderedPageBreak/>
        <w:t>Fiche 1</w:t>
      </w:r>
      <w:r w:rsidR="00CD541B">
        <w:t>5</w:t>
      </w:r>
      <w:r>
        <w:t xml:space="preserve"> : </w:t>
      </w:r>
      <w:r w:rsidR="00C0720F">
        <w:t>Gérer les v</w:t>
      </w:r>
      <w:r>
        <w:t>ariation des prix</w:t>
      </w:r>
      <w:bookmarkEnd w:id="47"/>
    </w:p>
    <w:p w14:paraId="1F294AA6" w14:textId="548ADBD1" w:rsidR="000068C2" w:rsidRDefault="002A056E" w:rsidP="000B3095">
      <w:pPr>
        <w:tabs>
          <w:tab w:val="left" w:pos="284"/>
        </w:tabs>
        <w:spacing w:after="120"/>
        <w:jc w:val="both"/>
      </w:pPr>
      <w:r w:rsidRPr="002A056E">
        <w:t>Un marché public étant toujours conclu à titre onéreux, les prestations doivent être effec</w:t>
      </w:r>
      <w:r>
        <w:t xml:space="preserve">tuées en contrepartie d’un prix. Celui-ci doit </w:t>
      </w:r>
      <w:r w:rsidR="006245EE">
        <w:t xml:space="preserve">impérativement </w:t>
      </w:r>
      <w:r>
        <w:t xml:space="preserve">figurer dans le contrat ou, </w:t>
      </w:r>
      <w:r w:rsidRPr="002A056E">
        <w:rPr>
          <w:i/>
        </w:rPr>
        <w:t>a minima</w:t>
      </w:r>
      <w:r>
        <w:t xml:space="preserve">, </w:t>
      </w:r>
      <w:r w:rsidRPr="002A056E">
        <w:t xml:space="preserve">les </w:t>
      </w:r>
      <w:r w:rsidR="00DA4035">
        <w:t xml:space="preserve">modalités précises de </w:t>
      </w:r>
      <w:r w:rsidRPr="002A056E">
        <w:t>sa détermination</w:t>
      </w:r>
      <w:r>
        <w:t xml:space="preserve"> </w:t>
      </w:r>
      <w:r w:rsidR="006245EE">
        <w:t>(</w:t>
      </w:r>
      <w:r>
        <w:t>s’il n’est pas fixé à l’avance</w:t>
      </w:r>
      <w:r w:rsidR="006245EE">
        <w:t>)</w:t>
      </w:r>
      <w:r w:rsidR="0050464C">
        <w:rPr>
          <w:rStyle w:val="Appelnotedebasdep"/>
        </w:rPr>
        <w:footnoteReference w:id="55"/>
      </w:r>
      <w:r>
        <w:t xml:space="preserve">. </w:t>
      </w:r>
    </w:p>
    <w:p w14:paraId="24D3E8F8" w14:textId="1FE7D7FF" w:rsidR="00122458" w:rsidRDefault="00DA67E0" w:rsidP="00122458">
      <w:pPr>
        <w:tabs>
          <w:tab w:val="left" w:pos="284"/>
        </w:tabs>
        <w:spacing w:after="120"/>
        <w:jc w:val="both"/>
      </w:pPr>
      <w:r w:rsidRPr="00922262">
        <w:rPr>
          <w:rStyle w:val="Lienhypertexte"/>
          <w:noProof/>
          <w:szCs w:val="23"/>
          <w:lang w:eastAsia="fr-FR"/>
        </w:rPr>
        <w:drawing>
          <wp:anchor distT="0" distB="0" distL="114300" distR="114300" simplePos="0" relativeHeight="251804672" behindDoc="0" locked="0" layoutInCell="1" allowOverlap="1" wp14:anchorId="60D986D7" wp14:editId="5A062332">
            <wp:simplePos x="0" y="0"/>
            <wp:positionH relativeFrom="margin">
              <wp:align>left</wp:align>
            </wp:positionH>
            <wp:positionV relativeFrom="paragraph">
              <wp:posOffset>10059</wp:posOffset>
            </wp:positionV>
            <wp:extent cx="370840" cy="370840"/>
            <wp:effectExtent l="0" t="0" r="0" b="0"/>
            <wp:wrapSquare wrapText="bothSides"/>
            <wp:docPr id="53" name="Image 53" descr="K:\1ESD\1C\COMMUN1C\06. OECP\3 - GT OECP\GT_acces-TPE-PME\Projet de guide\Icônes\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1ESD\1C\COMMUN1C\06. OECP\3 - GT OECP\GT_acces-TPE-PME\Projet de guide\Icônes\book.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flipH="1">
                      <a:off x="0" y="0"/>
                      <a:ext cx="382036" cy="3820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3095" w:rsidRPr="000B3095">
        <w:t>Conformément à l’article R</w:t>
      </w:r>
      <w:r>
        <w:t>.</w:t>
      </w:r>
      <w:r w:rsidR="000B3095" w:rsidRPr="000B3095">
        <w:t xml:space="preserve"> 2112-6 du CCP, un marché public est conclu sur la base de prix unitaires (appliqués aux quantités réellement livrées ou exécutées) ou de prix forfaitaires (appliqués à tout ou partie du marché, indépendamment des qu</w:t>
      </w:r>
      <w:r w:rsidR="007E7727">
        <w:t xml:space="preserve">antités livrées ou exécutées). Il est également possible de recourir aux 2 types de prix dans un même contrat. </w:t>
      </w:r>
    </w:p>
    <w:p w14:paraId="67B3AA8A" w14:textId="210591BA" w:rsidR="000B3095" w:rsidRDefault="0098472B" w:rsidP="00122458">
      <w:pPr>
        <w:tabs>
          <w:tab w:val="left" w:pos="284"/>
        </w:tabs>
        <w:spacing w:after="120"/>
        <w:jc w:val="both"/>
      </w:pPr>
      <w:r w:rsidRPr="00CC5612">
        <w:rPr>
          <w:noProof/>
          <w:lang w:eastAsia="fr-FR"/>
        </w:rPr>
        <w:drawing>
          <wp:anchor distT="0" distB="0" distL="114300" distR="114300" simplePos="0" relativeHeight="251829248" behindDoc="1" locked="0" layoutInCell="1" allowOverlap="1" wp14:anchorId="71CEFA1F" wp14:editId="397EC9C2">
            <wp:simplePos x="0" y="0"/>
            <wp:positionH relativeFrom="margin">
              <wp:align>right</wp:align>
            </wp:positionH>
            <wp:positionV relativeFrom="paragraph">
              <wp:posOffset>239288</wp:posOffset>
            </wp:positionV>
            <wp:extent cx="445770" cy="445770"/>
            <wp:effectExtent l="0" t="0" r="0" b="0"/>
            <wp:wrapTight wrapText="bothSides">
              <wp:wrapPolygon edited="0">
                <wp:start x="6462" y="0"/>
                <wp:lineTo x="0" y="5538"/>
                <wp:lineTo x="0" y="16615"/>
                <wp:lineTo x="3692" y="20308"/>
                <wp:lineTo x="16615" y="20308"/>
                <wp:lineTo x="20308" y="16615"/>
                <wp:lineTo x="20308" y="5538"/>
                <wp:lineTo x="13846" y="0"/>
                <wp:lineTo x="6462" y="0"/>
              </wp:wrapPolygon>
            </wp:wrapTight>
            <wp:docPr id="23" name="Image 23" descr="K:\1ESD\1C\COMMUN1C\11. Innovation\GT guide achats innovants\Projet de guide\Icônes\lib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1ESD\1C\COMMUN1C\11. Innovation\GT guide achats innovants\Projet de guide\Icônes\libra.png"/>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45770" cy="445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2458">
        <w:t xml:space="preserve">Conformément à l’article </w:t>
      </w:r>
      <w:r w:rsidR="00122458" w:rsidRPr="00122458">
        <w:t xml:space="preserve">R. 2112-8, </w:t>
      </w:r>
      <w:r w:rsidR="00122458">
        <w:t>l</w:t>
      </w:r>
      <w:r w:rsidR="000B3095" w:rsidRPr="000B3095">
        <w:t xml:space="preserve">es </w:t>
      </w:r>
      <w:r w:rsidR="000B3095" w:rsidRPr="004E29AA">
        <w:rPr>
          <w:b/>
        </w:rPr>
        <w:t>prix définitifs</w:t>
      </w:r>
      <w:r w:rsidR="000B3095" w:rsidRPr="00DA67E0">
        <w:t xml:space="preserve"> peuvent être </w:t>
      </w:r>
      <w:r w:rsidR="000B3095" w:rsidRPr="004E29AA">
        <w:rPr>
          <w:b/>
        </w:rPr>
        <w:t>soit fermes soit révisables</w:t>
      </w:r>
      <w:r w:rsidR="000B3095" w:rsidRPr="000B3095">
        <w:t xml:space="preserve">. </w:t>
      </w:r>
    </w:p>
    <w:p w14:paraId="08EE2D41" w14:textId="6707BC2C" w:rsidR="0098472B" w:rsidRDefault="0098472B" w:rsidP="0098472B">
      <w:pPr>
        <w:tabs>
          <w:tab w:val="left" w:pos="284"/>
        </w:tabs>
        <w:spacing w:after="120"/>
        <w:jc w:val="both"/>
      </w:pPr>
      <w:r>
        <w:t xml:space="preserve">Il convient d’ores et déjà de préciser que les clauses de variation des prix ont pour objet de maintenir l’équilibre économique d’un contrat tout au long de sa durée de vie et ce, quelle que soit l’évolution du cours des matières premières par exemple. </w:t>
      </w:r>
    </w:p>
    <w:p w14:paraId="59F02912" w14:textId="77777777" w:rsidR="00446183" w:rsidRDefault="0098472B" w:rsidP="0098472B">
      <w:pPr>
        <w:tabs>
          <w:tab w:val="left" w:pos="284"/>
        </w:tabs>
        <w:spacing w:after="120"/>
        <w:jc w:val="both"/>
        <w:rPr>
          <w:color w:val="FF0000"/>
        </w:rPr>
      </w:pPr>
      <w:r w:rsidRPr="0098472B">
        <w:rPr>
          <w:color w:val="FF0000"/>
        </w:rPr>
        <w:t xml:space="preserve">Ces clauses ont un impact direct sur le niveau des offres, car les entreprises seront amenées à surévaluer les réponses financières pour se prémunir de tout risque, si la variation des prix prévue au marché est inadaptée, voire inexistante. </w:t>
      </w:r>
    </w:p>
    <w:p w14:paraId="08195C0E" w14:textId="6E21134E" w:rsidR="0098472B" w:rsidRPr="000156F6" w:rsidRDefault="00446183" w:rsidP="0098472B">
      <w:pPr>
        <w:tabs>
          <w:tab w:val="left" w:pos="284"/>
        </w:tabs>
        <w:spacing w:after="120"/>
        <w:jc w:val="both"/>
      </w:pPr>
      <w:r w:rsidRPr="00446183">
        <w:t xml:space="preserve">La </w:t>
      </w:r>
      <w:r w:rsidRPr="00446183">
        <w:rPr>
          <w:b/>
        </w:rPr>
        <w:t xml:space="preserve">durée </w:t>
      </w:r>
      <w:r w:rsidRPr="00446183">
        <w:rPr>
          <w:b/>
        </w:rPr>
        <w:t xml:space="preserve">et l’objet </w:t>
      </w:r>
      <w:r w:rsidRPr="00446183">
        <w:rPr>
          <w:b/>
        </w:rPr>
        <w:t>du marché</w:t>
      </w:r>
      <w:r w:rsidRPr="00446183">
        <w:t xml:space="preserve"> sont bien sûr importants pour choisir entre le prix ferme (connu à l’avance, donc très simple à mettre en œuvre), et un prix révisable, qui nécessite une formule adaptée, puis de suivre les indices utilisés. Si le marché comporte une partie </w:t>
      </w:r>
      <w:r w:rsidRPr="000156F6">
        <w:t xml:space="preserve">significative du prix dépendant de cours internationaux de matière première, y compris agricoles, il est par principe nécessaire </w:t>
      </w:r>
      <w:r w:rsidR="0098472B" w:rsidRPr="000156F6">
        <w:t xml:space="preserve">de prévoir des modalités de variation des prix (révision). </w:t>
      </w:r>
    </w:p>
    <w:p w14:paraId="0CB86530" w14:textId="15DAE9D3" w:rsidR="0098472B" w:rsidRDefault="0098472B" w:rsidP="0098472B">
      <w:pPr>
        <w:tabs>
          <w:tab w:val="left" w:pos="284"/>
        </w:tabs>
        <w:spacing w:after="120"/>
        <w:jc w:val="both"/>
      </w:pPr>
      <w:r w:rsidRPr="004E29AA">
        <w:t>Plusie</w:t>
      </w:r>
      <w:r>
        <w:t>urs éléments doivent être</w:t>
      </w:r>
      <w:r w:rsidRPr="004E29AA">
        <w:t xml:space="preserve"> examinés pour déterminer s’il convient de retenir un prix variable </w:t>
      </w:r>
      <w:r>
        <w:t xml:space="preserve">ou ferme </w:t>
      </w:r>
      <w:r w:rsidRPr="004E29AA">
        <w:t>: la nature des prestations achetées, la durée du marché, l’existence (ou l’inexistence) de références suffisantes pour constituer une formule de variation de prix, la simplicité des opérations de règlement, l</w:t>
      </w:r>
      <w:r>
        <w:t>es moyens de l’acheteur public et de l’entreprise,</w:t>
      </w:r>
      <w:r w:rsidRPr="004E29AA">
        <w:t xml:space="preserve"> l’a</w:t>
      </w:r>
      <w:r>
        <w:t>bsence d’incertitude budgétaire</w:t>
      </w:r>
      <w:r w:rsidR="006D1ACC">
        <w:t>, etc.</w:t>
      </w:r>
      <w:r>
        <w:t xml:space="preserve"> </w:t>
      </w:r>
    </w:p>
    <w:p w14:paraId="12C74C80" w14:textId="653DCAFA" w:rsidR="00AF09F7" w:rsidRDefault="00AF09F7" w:rsidP="00AF09F7">
      <w:pPr>
        <w:pStyle w:val="Paragraphedeliste"/>
        <w:numPr>
          <w:ilvl w:val="0"/>
          <w:numId w:val="44"/>
        </w:numPr>
        <w:tabs>
          <w:tab w:val="left" w:pos="284"/>
        </w:tabs>
        <w:spacing w:after="120"/>
        <w:ind w:left="0" w:firstLine="142"/>
        <w:jc w:val="both"/>
      </w:pPr>
      <w:r>
        <w:rPr>
          <w:b/>
        </w:rPr>
        <w:t>p</w:t>
      </w:r>
      <w:r w:rsidR="000B3095" w:rsidRPr="00AF09F7">
        <w:rPr>
          <w:b/>
        </w:rPr>
        <w:t>rix fermes</w:t>
      </w:r>
      <w:r w:rsidR="000B3095" w:rsidRPr="000B3095">
        <w:t xml:space="preserve"> : les prix fermes correspondent à des </w:t>
      </w:r>
      <w:r w:rsidR="000B3095" w:rsidRPr="00DA67E0">
        <w:t>prix invariables</w:t>
      </w:r>
      <w:r w:rsidR="000B3095" w:rsidRPr="000B3095">
        <w:t xml:space="preserve"> pendant la durée du marché</w:t>
      </w:r>
      <w:r w:rsidR="00721A2C">
        <w:t xml:space="preserve"> (le prix initial correspondra donc au prix de règlement)</w:t>
      </w:r>
      <w:r w:rsidR="000B3095" w:rsidRPr="000B3095">
        <w:t xml:space="preserve">. </w:t>
      </w:r>
    </w:p>
    <w:p w14:paraId="72A25A27" w14:textId="42CB96C5" w:rsidR="000B3095" w:rsidRDefault="000B3095" w:rsidP="00AF09F7">
      <w:pPr>
        <w:tabs>
          <w:tab w:val="left" w:pos="284"/>
        </w:tabs>
        <w:spacing w:after="120"/>
        <w:jc w:val="both"/>
      </w:pPr>
      <w:r w:rsidRPr="000B3095">
        <w:t>Un marché est conclu à prix ferme, lorsque cette forme de prix n'est pas de nature à exposer les parties à des aléas majeurs du fait de l'évolution raisonnablement prévisible des conditions économiques pendant la période d'exécution des prestations</w:t>
      </w:r>
      <w:r w:rsidRPr="000B3095">
        <w:rPr>
          <w:rStyle w:val="Appelnotedebasdep"/>
        </w:rPr>
        <w:footnoteReference w:id="56"/>
      </w:r>
      <w:r w:rsidRPr="000B3095">
        <w:t>. Exemples : marchés de courte durée et</w:t>
      </w:r>
      <w:r w:rsidR="00CA3313">
        <w:t>/ou</w:t>
      </w:r>
      <w:r w:rsidRPr="000B3095">
        <w:t xml:space="preserve"> ne mettant pas en œuvre des matières premières à forte volatilité.</w:t>
      </w:r>
    </w:p>
    <w:p w14:paraId="59698B31" w14:textId="14F2D7BF" w:rsidR="000B3095" w:rsidRPr="000B3095" w:rsidRDefault="000B3095" w:rsidP="000B3095">
      <w:pPr>
        <w:tabs>
          <w:tab w:val="left" w:pos="284"/>
        </w:tabs>
        <w:spacing w:after="120"/>
        <w:jc w:val="both"/>
      </w:pPr>
      <w:r w:rsidRPr="000B3095">
        <w:t xml:space="preserve">Les prix fermes sont cependant </w:t>
      </w:r>
      <w:r w:rsidRPr="000E4C40">
        <w:rPr>
          <w:u w:val="single"/>
        </w:rPr>
        <w:t>actualisables</w:t>
      </w:r>
      <w:r w:rsidRPr="000B3095">
        <w:t>, en particulier pour les fournitures ou services autres que courants ou pour des travaux. L’actualisation est destinée à prendre en compte l’évolution des prix entre le moment où le candidat a fixé son prix dans l’offre et le démarrage effectif des prestations (dès lors qu’un délai supérieur à trois mo</w:t>
      </w:r>
      <w:r w:rsidR="007345D2">
        <w:t xml:space="preserve">is s'est écoulé entre ces deux </w:t>
      </w:r>
      <w:r w:rsidRPr="000B3095">
        <w:t>dates).</w:t>
      </w:r>
    </w:p>
    <w:p w14:paraId="410DCEE9" w14:textId="57CF2E43" w:rsidR="000B3095" w:rsidRDefault="000B3095" w:rsidP="000B3095">
      <w:pPr>
        <w:tabs>
          <w:tab w:val="left" w:pos="284"/>
        </w:tabs>
        <w:spacing w:after="120"/>
        <w:jc w:val="both"/>
      </w:pPr>
      <w:r w:rsidRPr="000B3095">
        <w:t xml:space="preserve">La </w:t>
      </w:r>
      <w:r w:rsidRPr="00DA67E0">
        <w:t xml:space="preserve">totalité des prix du marché sera actualisée </w:t>
      </w:r>
      <w:r w:rsidRPr="000E4C40">
        <w:rPr>
          <w:u w:val="single"/>
        </w:rPr>
        <w:t>une seule fois</w:t>
      </w:r>
      <w:r w:rsidRPr="00DA67E0">
        <w:rPr>
          <w:rStyle w:val="Appelnotedebasdep"/>
        </w:rPr>
        <w:footnoteReference w:id="57"/>
      </w:r>
      <w:r w:rsidRPr="00DA67E0">
        <w:t xml:space="preserve"> à</w:t>
      </w:r>
      <w:r w:rsidRPr="000B3095">
        <w:t xml:space="preserve"> l’aide d’une formule unique prévue au marché. Les prix, ainsi actualisés au début de l’exécution des prestations, restent fermes pendant toute la durée du marché et les factures seront présentées avec ces prix actualisés.</w:t>
      </w:r>
    </w:p>
    <w:p w14:paraId="1BF145D8" w14:textId="77777777" w:rsidR="00AF09F7" w:rsidRDefault="00AF09F7" w:rsidP="00AF09F7">
      <w:pPr>
        <w:pStyle w:val="Paragraphedeliste"/>
        <w:numPr>
          <w:ilvl w:val="0"/>
          <w:numId w:val="44"/>
        </w:numPr>
        <w:tabs>
          <w:tab w:val="left" w:pos="284"/>
        </w:tabs>
        <w:spacing w:after="120"/>
        <w:ind w:left="0" w:firstLine="142"/>
        <w:jc w:val="both"/>
      </w:pPr>
      <w:r w:rsidRPr="00AF09F7">
        <w:rPr>
          <w:b/>
        </w:rPr>
        <w:lastRenderedPageBreak/>
        <w:t>p</w:t>
      </w:r>
      <w:r w:rsidR="000B3095" w:rsidRPr="00AF09F7">
        <w:rPr>
          <w:b/>
        </w:rPr>
        <w:t>rix révisables</w:t>
      </w:r>
      <w:r w:rsidR="000B3095" w:rsidRPr="000B3095">
        <w:t xml:space="preserve"> : les prix révisables sont des prix qui </w:t>
      </w:r>
      <w:r w:rsidR="000B3095" w:rsidRPr="00DA67E0">
        <w:t>peuvent être modifiés</w:t>
      </w:r>
      <w:r w:rsidR="000B3095" w:rsidRPr="000B3095">
        <w:t xml:space="preserve"> pour tenir compte des variations économiques (à la hausse comme à la baisse). </w:t>
      </w:r>
    </w:p>
    <w:p w14:paraId="0A786D79" w14:textId="3E9363AD" w:rsidR="000B3095" w:rsidRPr="000B3095" w:rsidRDefault="000B3095" w:rsidP="000B3095">
      <w:pPr>
        <w:tabs>
          <w:tab w:val="left" w:pos="284"/>
        </w:tabs>
        <w:spacing w:after="120"/>
        <w:jc w:val="both"/>
      </w:pPr>
      <w:r w:rsidRPr="000B3095">
        <w:t xml:space="preserve">Dans ce cadre, les clauses du marché doivent fixer la date d'établissement du prix initial, les modalités de calcul de la révision ainsi que la périodicité de sa mise en œuvre. La révision s’applique entre la date d’établissement des prix et les </w:t>
      </w:r>
      <w:r w:rsidRPr="00181C60">
        <w:rPr>
          <w:u w:val="single"/>
        </w:rPr>
        <w:t>dates successives de règlement</w:t>
      </w:r>
      <w:r w:rsidRPr="000B3095">
        <w:t xml:space="preserve"> des situations ou factures (ex : tous les mois, tous les trimestres…) selon les modalités fixées dans la clause de révision. </w:t>
      </w:r>
    </w:p>
    <w:p w14:paraId="490C60B8" w14:textId="0B7DAEFE" w:rsidR="000B3095" w:rsidRPr="000B3095" w:rsidRDefault="000B3095" w:rsidP="00DA67E0">
      <w:pPr>
        <w:tabs>
          <w:tab w:val="left" w:pos="284"/>
        </w:tabs>
        <w:spacing w:after="40"/>
        <w:jc w:val="both"/>
      </w:pPr>
      <w:r w:rsidRPr="000B3095">
        <w:t>Les conditions de calcul d'un prix révisable sont fixées</w:t>
      </w:r>
      <w:r w:rsidRPr="000B3095">
        <w:rPr>
          <w:rStyle w:val="Appelnotedebasdep"/>
        </w:rPr>
        <w:footnoteReference w:id="58"/>
      </w:r>
      <w:r w:rsidRPr="000B3095">
        <w:t xml:space="preserve"> :</w:t>
      </w:r>
    </w:p>
    <w:p w14:paraId="7AE761A9" w14:textId="29F53184" w:rsidR="000B3095" w:rsidRPr="000B3095" w:rsidRDefault="000B3095" w:rsidP="00DA67E0">
      <w:pPr>
        <w:pStyle w:val="Paragraphedeliste"/>
        <w:numPr>
          <w:ilvl w:val="0"/>
          <w:numId w:val="37"/>
        </w:numPr>
        <w:tabs>
          <w:tab w:val="left" w:pos="284"/>
        </w:tabs>
        <w:spacing w:before="40" w:after="40"/>
        <w:ind w:left="714" w:hanging="357"/>
        <w:contextualSpacing w:val="0"/>
        <w:jc w:val="both"/>
      </w:pPr>
      <w:r w:rsidRPr="000B3095">
        <w:t>soit en fonction d'une référence (ex : index, indice, mercuriale de prix</w:t>
      </w:r>
      <w:r w:rsidR="00B76656">
        <w:t xml:space="preserve">, </w:t>
      </w:r>
      <w:r w:rsidR="00B76656">
        <w:t>le barème du titulaire dès lors qu’il est appliqué à l’ensemble de la clientèle</w:t>
      </w:r>
      <w:r w:rsidRPr="000B3095">
        <w:t>…) et à partir de laquelle on procède à l'ajustement du prix,</w:t>
      </w:r>
    </w:p>
    <w:p w14:paraId="199A830A" w14:textId="77777777" w:rsidR="000B3095" w:rsidRPr="000B3095" w:rsidRDefault="000B3095" w:rsidP="00DA67E0">
      <w:pPr>
        <w:pStyle w:val="Paragraphedeliste"/>
        <w:numPr>
          <w:ilvl w:val="0"/>
          <w:numId w:val="37"/>
        </w:numPr>
        <w:tabs>
          <w:tab w:val="left" w:pos="284"/>
        </w:tabs>
        <w:spacing w:before="40" w:after="40"/>
        <w:ind w:left="714" w:hanging="357"/>
        <w:contextualSpacing w:val="0"/>
        <w:jc w:val="both"/>
      </w:pPr>
      <w:r w:rsidRPr="000B3095">
        <w:t>soit par application d'une formule représentative de l'évolution du coût de la prestation (dans ce cas, la formule ne prend en compte que les différents éléments du coût et peut inclure un terme fixe) ;</w:t>
      </w:r>
    </w:p>
    <w:p w14:paraId="21A0BCBD" w14:textId="77777777" w:rsidR="00DE1DFC" w:rsidRDefault="000B3095" w:rsidP="00224B57">
      <w:pPr>
        <w:pStyle w:val="Paragraphedeliste"/>
        <w:numPr>
          <w:ilvl w:val="0"/>
          <w:numId w:val="37"/>
        </w:numPr>
        <w:tabs>
          <w:tab w:val="left" w:pos="284"/>
        </w:tabs>
        <w:spacing w:before="40" w:after="120"/>
        <w:contextualSpacing w:val="0"/>
        <w:jc w:val="both"/>
      </w:pPr>
      <w:r w:rsidRPr="000B3095">
        <w:t>soit en combinant les 2.</w:t>
      </w:r>
    </w:p>
    <w:p w14:paraId="18E60433" w14:textId="50F387E2" w:rsidR="00224B57" w:rsidRDefault="00B5222A" w:rsidP="00224B57">
      <w:pPr>
        <w:tabs>
          <w:tab w:val="left" w:pos="284"/>
        </w:tabs>
        <w:spacing w:before="40" w:after="120"/>
        <w:jc w:val="both"/>
      </w:pPr>
      <w:r w:rsidRPr="00B5222A">
        <w:rPr>
          <w:b/>
          <w:noProof/>
          <w:lang w:eastAsia="fr-FR"/>
        </w:rPr>
        <w:drawing>
          <wp:anchor distT="0" distB="0" distL="114300" distR="114300" simplePos="0" relativeHeight="251830272" behindDoc="1" locked="0" layoutInCell="1" allowOverlap="1" wp14:anchorId="12942EC1" wp14:editId="05B7957C">
            <wp:simplePos x="0" y="0"/>
            <wp:positionH relativeFrom="margin">
              <wp:posOffset>-635</wp:posOffset>
            </wp:positionH>
            <wp:positionV relativeFrom="paragraph">
              <wp:posOffset>963930</wp:posOffset>
            </wp:positionV>
            <wp:extent cx="299720" cy="299720"/>
            <wp:effectExtent l="0" t="0" r="5080" b="5080"/>
            <wp:wrapTight wrapText="bothSides">
              <wp:wrapPolygon edited="0">
                <wp:start x="5492" y="0"/>
                <wp:lineTo x="0" y="13729"/>
                <wp:lineTo x="0" y="20593"/>
                <wp:lineTo x="20593" y="20593"/>
                <wp:lineTo x="20593" y="13729"/>
                <wp:lineTo x="15102" y="0"/>
                <wp:lineTo x="5492" y="0"/>
              </wp:wrapPolygon>
            </wp:wrapTight>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99720" cy="299720"/>
                    </a:xfrm>
                    <a:prstGeom prst="rect">
                      <a:avLst/>
                    </a:prstGeom>
                    <a:noFill/>
                  </pic:spPr>
                </pic:pic>
              </a:graphicData>
            </a:graphic>
            <wp14:sizeRelH relativeFrom="margin">
              <wp14:pctWidth>0</wp14:pctWidth>
            </wp14:sizeRelH>
            <wp14:sizeRelV relativeFrom="margin">
              <wp14:pctHeight>0</wp14:pctHeight>
            </wp14:sizeRelV>
          </wp:anchor>
        </w:drawing>
      </w:r>
      <w:r w:rsidR="00224B57" w:rsidRPr="00224B57">
        <w:t xml:space="preserve">Une attention particulière doit être portée au choix des </w:t>
      </w:r>
      <w:r w:rsidR="00224B57" w:rsidRPr="00B5222A">
        <w:rPr>
          <w:b/>
        </w:rPr>
        <w:t>indices et index</w:t>
      </w:r>
      <w:r w:rsidR="00224B57" w:rsidRPr="00224B57">
        <w:t xml:space="preserve"> de références, qui doivent être </w:t>
      </w:r>
      <w:r w:rsidR="00224B57" w:rsidRPr="00B5222A">
        <w:rPr>
          <w:b/>
        </w:rPr>
        <w:t>représentatifs</w:t>
      </w:r>
      <w:r w:rsidR="00224B57" w:rsidRPr="00224B57">
        <w:t xml:space="preserve"> du contenu des prestations du marché</w:t>
      </w:r>
      <w:r>
        <w:t xml:space="preserve"> </w:t>
      </w:r>
      <w:r w:rsidR="00224B57" w:rsidRPr="00224B57">
        <w:t xml:space="preserve">et </w:t>
      </w:r>
      <w:r w:rsidRPr="00B5222A">
        <w:t>se rapprocher le plus possible de la période réelle d’exécution</w:t>
      </w:r>
      <w:r>
        <w:t xml:space="preserve">. </w:t>
      </w:r>
      <w:r w:rsidR="00224B57" w:rsidRPr="00224B57">
        <w:t xml:space="preserve">Il convient </w:t>
      </w:r>
      <w:r>
        <w:t xml:space="preserve">ainsi </w:t>
      </w:r>
      <w:r w:rsidR="00224B57" w:rsidRPr="00224B57">
        <w:t>de ne pas retenir sans discernement un index TP</w:t>
      </w:r>
      <w:r>
        <w:t xml:space="preserve"> (ou bien le BT 01)</w:t>
      </w:r>
      <w:r w:rsidR="00224B57" w:rsidRPr="00224B57">
        <w:t xml:space="preserve"> par exemple</w:t>
      </w:r>
      <w:r>
        <w:t>,</w:t>
      </w:r>
      <w:r w:rsidR="00224B57" w:rsidRPr="00224B57">
        <w:t xml:space="preserve"> en limitant l’analyse de son choix au critère de l’intitulé littéraire qui corres</w:t>
      </w:r>
      <w:r>
        <w:t xml:space="preserve">pondrait à l’intitulé du marché. </w:t>
      </w:r>
    </w:p>
    <w:p w14:paraId="75DBC727" w14:textId="0372EDBA" w:rsidR="0098472B" w:rsidRDefault="0098472B" w:rsidP="0098472B">
      <w:pPr>
        <w:tabs>
          <w:tab w:val="left" w:pos="284"/>
        </w:tabs>
        <w:spacing w:before="60" w:after="120"/>
        <w:jc w:val="both"/>
      </w:pPr>
      <w:r w:rsidRPr="00B5222A">
        <w:rPr>
          <w:b/>
        </w:rPr>
        <w:t xml:space="preserve">Pas de copier-coller </w:t>
      </w:r>
      <w:r>
        <w:t xml:space="preserve">pour les clauses de prix : il est vivement déconseillé de recopier les clauses d’anciens contrats, sans avoir soigneusement examiné leur régularité (évolution du droit ou de la jurisprudence), leur compatibilité avec les clauses du nouveau marché (durée du marché et forme du prix par exemple) et, surtout, leur </w:t>
      </w:r>
      <w:r w:rsidRPr="00B5222A">
        <w:t>bonne adéquation à l’objet même du contrat, et l’existence des indices correspondants. Il</w:t>
      </w:r>
      <w:r>
        <w:t xml:space="preserve"> faut donc revoir périodiquement (au moins tous les cinq ans) la composition des formules de variation.</w:t>
      </w:r>
    </w:p>
    <w:p w14:paraId="55AA964B" w14:textId="7B6B0C7A" w:rsidR="00B702A2" w:rsidRDefault="00181C60" w:rsidP="00260631">
      <w:pPr>
        <w:tabs>
          <w:tab w:val="left" w:pos="284"/>
        </w:tabs>
        <w:spacing w:after="120"/>
        <w:jc w:val="both"/>
      </w:pPr>
      <w:r>
        <w:t>On constate que l</w:t>
      </w:r>
      <w:r w:rsidR="00DE1DFC" w:rsidRPr="00DE1DFC">
        <w:t>es pratiques des acheteurs sont</w:t>
      </w:r>
      <w:r w:rsidR="00303190">
        <w:t xml:space="preserve"> relativement</w:t>
      </w:r>
      <w:r w:rsidR="00DE1DFC" w:rsidRPr="00DE1DFC">
        <w:t xml:space="preserve"> diverses en matière</w:t>
      </w:r>
      <w:r w:rsidR="00DE1DFC">
        <w:t xml:space="preserve"> de révision de prix</w:t>
      </w:r>
      <w:r w:rsidR="00DE1DFC" w:rsidRPr="00DE1DFC">
        <w:t xml:space="preserve">. </w:t>
      </w:r>
      <w:r w:rsidR="00303190">
        <w:br/>
      </w:r>
      <w:r w:rsidR="00DE1DFC" w:rsidRPr="00DE1DFC">
        <w:t>Ex</w:t>
      </w:r>
      <w:r w:rsidR="00303190">
        <w:t>emples</w:t>
      </w:r>
      <w:r w:rsidR="00DE1DFC" w:rsidRPr="00DE1DFC">
        <w:t xml:space="preserve"> : recours à un seuil de déclenchement pour éviter une révision inefficace (coût administratif </w:t>
      </w:r>
      <w:r>
        <w:t xml:space="preserve">plus </w:t>
      </w:r>
      <w:r w:rsidR="00DE1DFC" w:rsidRPr="00DE1DFC">
        <w:t>élevé</w:t>
      </w:r>
      <w:r>
        <w:t xml:space="preserve"> que le gain</w:t>
      </w:r>
      <w:r w:rsidR="00DE1DFC" w:rsidRPr="00DE1DFC">
        <w:t xml:space="preserve">), formules avec ou sans partie fixe, neutralisation des indices provisoires, etc. </w:t>
      </w:r>
    </w:p>
    <w:p w14:paraId="6A2E04EA" w14:textId="178146D1" w:rsidR="00DE1DFC" w:rsidRPr="00DE1DFC" w:rsidRDefault="00181C60" w:rsidP="00181C60">
      <w:pPr>
        <w:pStyle w:val="Encart"/>
        <w:spacing w:line="276" w:lineRule="auto"/>
      </w:pPr>
      <w:r>
        <w:t>En tout état de cause, i</w:t>
      </w:r>
      <w:r w:rsidR="00DE1DFC" w:rsidRPr="00DE1DFC">
        <w:t xml:space="preserve">l </w:t>
      </w:r>
      <w:r w:rsidR="00260631">
        <w:t xml:space="preserve">convient </w:t>
      </w:r>
      <w:r w:rsidR="00260631" w:rsidRPr="0098472B">
        <w:t>d’</w:t>
      </w:r>
      <w:r w:rsidR="00DE1DFC" w:rsidRPr="0098472B">
        <w:rPr>
          <w:b/>
        </w:rPr>
        <w:t>éviter les formules de révision trop complexes</w:t>
      </w:r>
      <w:r w:rsidR="00DE1DFC" w:rsidRPr="00DE1DFC">
        <w:t>, car elles peuvent être difficiles à appliquer pour les entreprises et les comptables, sans être nécessairement plus représentatives des structures réelles de coût.</w:t>
      </w:r>
    </w:p>
    <w:p w14:paraId="52DA601B" w14:textId="77777777" w:rsidR="00303190" w:rsidRPr="00DE1DFC" w:rsidRDefault="00303190" w:rsidP="00303190">
      <w:pPr>
        <w:tabs>
          <w:tab w:val="left" w:pos="284"/>
        </w:tabs>
        <w:spacing w:after="120"/>
        <w:jc w:val="both"/>
      </w:pPr>
      <w:r w:rsidRPr="00DE1DFC">
        <w:t xml:space="preserve">Le </w:t>
      </w:r>
      <w:hyperlink r:id="rId84" w:history="1">
        <w:r w:rsidRPr="006D1ACC">
          <w:rPr>
            <w:rStyle w:val="Lienhypertexte"/>
          </w:rPr>
          <w:t>guide pratique sur le prix dans les marchés publics</w:t>
        </w:r>
      </w:hyperlink>
      <w:r w:rsidRPr="00DE1DFC">
        <w:t xml:space="preserve"> </w:t>
      </w:r>
      <w:r>
        <w:t xml:space="preserve">(chapitre 3) </w:t>
      </w:r>
      <w:r w:rsidRPr="00DE1DFC">
        <w:t xml:space="preserve">pourra servir à illustrer les </w:t>
      </w:r>
      <w:r w:rsidRPr="00224B57">
        <w:t>différentes modalités</w:t>
      </w:r>
      <w:r w:rsidRPr="00DE1DFC">
        <w:t xml:space="preserve"> </w:t>
      </w:r>
      <w:r>
        <w:t xml:space="preserve">possibles </w:t>
      </w:r>
      <w:r w:rsidRPr="00DE1DFC">
        <w:t>et leurs impacts en f</w:t>
      </w:r>
      <w:r>
        <w:t>onction de l’évolution des prix.</w:t>
      </w:r>
    </w:p>
    <w:p w14:paraId="700F1409" w14:textId="283B1505" w:rsidR="008D0CF5" w:rsidRDefault="00703268" w:rsidP="00260631">
      <w:pPr>
        <w:tabs>
          <w:tab w:val="left" w:pos="284"/>
        </w:tabs>
        <w:spacing w:after="120"/>
        <w:jc w:val="both"/>
      </w:pPr>
      <w:r w:rsidRPr="00181C60">
        <w:rPr>
          <w:bCs/>
        </w:rPr>
        <w:t>S’agissant des modalités effectives de calcul</w:t>
      </w:r>
      <w:r w:rsidR="008D0CF5">
        <w:rPr>
          <w:bCs/>
        </w:rPr>
        <w:t xml:space="preserve"> en cours d’exécution</w:t>
      </w:r>
      <w:r w:rsidRPr="00181C60">
        <w:rPr>
          <w:bCs/>
        </w:rPr>
        <w:t>,</w:t>
      </w:r>
      <w:r w:rsidR="008D0CF5">
        <w:rPr>
          <w:b/>
          <w:bCs/>
        </w:rPr>
        <w:t xml:space="preserve"> </w:t>
      </w:r>
      <w:r w:rsidR="008D0CF5" w:rsidRPr="008D0CF5">
        <w:rPr>
          <w:bCs/>
        </w:rPr>
        <w:t>l</w:t>
      </w:r>
      <w:r w:rsidR="00DE1DFC" w:rsidRPr="00181C60">
        <w:t>es fédérations</w:t>
      </w:r>
      <w:r w:rsidR="008D0CF5">
        <w:t xml:space="preserve"> professionnelles</w:t>
      </w:r>
      <w:r w:rsidR="00DE1DFC" w:rsidRPr="00181C60">
        <w:t xml:space="preserve"> soulignent le caractère parfois « crispant » des révisions de prix, car les opérateurs</w:t>
      </w:r>
      <w:r w:rsidR="008D0CF5">
        <w:t xml:space="preserve"> économiques</w:t>
      </w:r>
      <w:r w:rsidR="00DE1DFC" w:rsidRPr="00181C60">
        <w:t xml:space="preserve"> ont du mal à aboutir au même résultat que la collectivité</w:t>
      </w:r>
      <w:r w:rsidR="008D0CF5">
        <w:t xml:space="preserve"> publique</w:t>
      </w:r>
      <w:r w:rsidR="00DE1DFC" w:rsidRPr="00181C60">
        <w:t xml:space="preserve">, ce qui contribue à l’allongement des délais de paiement. </w:t>
      </w:r>
    </w:p>
    <w:p w14:paraId="6D240875" w14:textId="331BA0B0" w:rsidR="00DE1DFC" w:rsidRPr="00181C60" w:rsidRDefault="00DE1DFC" w:rsidP="00260631">
      <w:pPr>
        <w:tabs>
          <w:tab w:val="left" w:pos="284"/>
        </w:tabs>
        <w:spacing w:after="120"/>
        <w:jc w:val="both"/>
      </w:pPr>
      <w:r w:rsidRPr="00181C60">
        <w:t xml:space="preserve">Une bonne pratique peut correspondre au </w:t>
      </w:r>
      <w:r w:rsidRPr="00AA30BA">
        <w:rPr>
          <w:b/>
        </w:rPr>
        <w:t>partage</w:t>
      </w:r>
      <w:r w:rsidRPr="00181C60">
        <w:t xml:space="preserve">, dès le démarrage du marché, </w:t>
      </w:r>
      <w:r w:rsidRPr="00AA30BA">
        <w:rPr>
          <w:b/>
        </w:rPr>
        <w:t>d’un fichier</w:t>
      </w:r>
      <w:r w:rsidRPr="00181C60">
        <w:t xml:space="preserve"> (</w:t>
      </w:r>
      <w:r w:rsidR="008D0CF5">
        <w:t xml:space="preserve">tableur </w:t>
      </w:r>
      <w:r w:rsidRPr="00181C60">
        <w:t>actualisé régulièrement) contenant les formules, les indices, le nombre d’arrondis, etc. Il s’agit aussi d’un sujet qui peut être abordé lors de la réunion de lancement du marché</w:t>
      </w:r>
      <w:r w:rsidR="00703268" w:rsidRPr="00181C60">
        <w:t>.</w:t>
      </w:r>
    </w:p>
    <w:p w14:paraId="5D1024AD" w14:textId="56FADD53" w:rsidR="00260631" w:rsidRPr="000156F6" w:rsidRDefault="00703268" w:rsidP="000156F6">
      <w:pPr>
        <w:tabs>
          <w:tab w:val="left" w:pos="284"/>
        </w:tabs>
        <w:spacing w:after="120"/>
        <w:jc w:val="both"/>
      </w:pPr>
      <w:r w:rsidRPr="00181C60">
        <w:t>Enfin, i</w:t>
      </w:r>
      <w:r w:rsidR="00DE1DFC" w:rsidRPr="00181C60">
        <w:t xml:space="preserve">l faut prévoir clairement au contrat sur qui porte l’obligation de </w:t>
      </w:r>
      <w:r w:rsidR="00DE1DFC" w:rsidRPr="00A562CB">
        <w:rPr>
          <w:b/>
        </w:rPr>
        <w:t>calculer la révision</w:t>
      </w:r>
      <w:r w:rsidR="00DE1DFC" w:rsidRPr="00DE1DFC">
        <w:t xml:space="preserve"> de prix (acheteur, </w:t>
      </w:r>
      <w:r w:rsidR="00A562CB">
        <w:t xml:space="preserve">entreprise ou maitre d’œuvre). En effet, </w:t>
      </w:r>
      <w:r w:rsidR="00A562CB" w:rsidRPr="00A562CB">
        <w:t>selon les dispos</w:t>
      </w:r>
      <w:r w:rsidR="00A562CB">
        <w:t>itions contractuelles du marché</w:t>
      </w:r>
      <w:r w:rsidR="00A562CB" w:rsidRPr="00A562CB">
        <w:t>, les stipulations du cahier des clauses administratives générales et/ou celles du cahier des clauses administratives particulières qu'il appartiendra ou non au titulaire de procéder au calcul des révisions de prix.</w:t>
      </w:r>
      <w:r w:rsidR="00260631">
        <w:br w:type="page"/>
      </w:r>
    </w:p>
    <w:p w14:paraId="69D39A3A" w14:textId="08E76068" w:rsidR="00B82771" w:rsidRDefault="00B82771" w:rsidP="009C4D78">
      <w:pPr>
        <w:pStyle w:val="Titre1"/>
        <w:spacing w:after="240"/>
      </w:pPr>
      <w:bookmarkStart w:id="48" w:name="_Fiche_16_:"/>
      <w:bookmarkStart w:id="49" w:name="_Toc7425951"/>
      <w:bookmarkEnd w:id="48"/>
      <w:r>
        <w:lastRenderedPageBreak/>
        <w:t xml:space="preserve">Fiche 16 : </w:t>
      </w:r>
      <w:r w:rsidR="00E44B6D">
        <w:t>Contrôler et accompagner la s</w:t>
      </w:r>
      <w:r>
        <w:t>ous-traitance</w:t>
      </w:r>
      <w:bookmarkEnd w:id="49"/>
    </w:p>
    <w:p w14:paraId="6DFD8015" w14:textId="31278E3B" w:rsidR="00DF2CD8" w:rsidRDefault="00DF2CD8" w:rsidP="00DF2CD8">
      <w:pPr>
        <w:pStyle w:val="Titre3"/>
        <w:spacing w:after="120"/>
      </w:pPr>
      <w:bookmarkStart w:id="50" w:name="_Toc7425952"/>
      <w:r>
        <w:t>Principe général</w:t>
      </w:r>
      <w:bookmarkEnd w:id="50"/>
    </w:p>
    <w:p w14:paraId="1E8062A5" w14:textId="12911F17" w:rsidR="009C4D78" w:rsidRDefault="009C4D78" w:rsidP="006A6A37">
      <w:pPr>
        <w:spacing w:after="120"/>
        <w:jc w:val="both"/>
      </w:pPr>
      <w:r w:rsidRPr="009C4D78">
        <w:rPr>
          <w:noProof/>
          <w:lang w:eastAsia="fr-FR"/>
        </w:rPr>
        <w:drawing>
          <wp:anchor distT="0" distB="0" distL="114300" distR="114300" simplePos="0" relativeHeight="251777024" behindDoc="1" locked="0" layoutInCell="1" allowOverlap="1" wp14:anchorId="2F82F45F" wp14:editId="08CA8710">
            <wp:simplePos x="0" y="0"/>
            <wp:positionH relativeFrom="column">
              <wp:posOffset>-1298</wp:posOffset>
            </wp:positionH>
            <wp:positionV relativeFrom="paragraph">
              <wp:posOffset>-55</wp:posOffset>
            </wp:positionV>
            <wp:extent cx="318053" cy="318053"/>
            <wp:effectExtent l="0" t="0" r="6350" b="6350"/>
            <wp:wrapTight wrapText="bothSides">
              <wp:wrapPolygon edited="0">
                <wp:start x="0" y="0"/>
                <wp:lineTo x="0" y="19440"/>
                <wp:lineTo x="15552" y="20736"/>
                <wp:lineTo x="20736" y="20736"/>
                <wp:lineTo x="20736" y="0"/>
                <wp:lineTo x="0" y="0"/>
              </wp:wrapPolygon>
            </wp:wrapTight>
            <wp:docPr id="34" name="Image 34" descr="K:\1ESD\1C\COMMUN1C\06. OECP\3 - GT OECP\GT_acces-TPE-PME\Projet de guide\Icônes\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1ESD\1C\COMMUN1C\06. OECP\3 - GT OECP\GT_acces-TPE-PME\Projet de guide\Icônes\book.png"/>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18053" cy="318053"/>
                    </a:xfrm>
                    <a:prstGeom prst="rect">
                      <a:avLst/>
                    </a:prstGeom>
                    <a:noFill/>
                    <a:ln>
                      <a:noFill/>
                    </a:ln>
                  </pic:spPr>
                </pic:pic>
              </a:graphicData>
            </a:graphic>
          </wp:anchor>
        </w:drawing>
      </w:r>
      <w:r w:rsidRPr="009C4D78">
        <w:t>D’après l’article L 2193-2 du CCP codifiant la loi du 31 décembre 1975</w:t>
      </w:r>
      <w:r w:rsidR="003818B0">
        <w:t>,</w:t>
      </w:r>
      <w:r w:rsidRPr="009C4D78">
        <w:t xml:space="preserve"> « </w:t>
      </w:r>
      <w:r w:rsidRPr="009C4D78">
        <w:rPr>
          <w:i/>
        </w:rPr>
        <w:t>la sous-traitance est l’opération par laquelle un opérateur économique confie par un sous-traité, et sous sa responsabilité, à une autre personne appelée sous-traitant, l’exécution d’une partie des prestations du marché conclu avec l’acheteur </w:t>
      </w:r>
      <w:r w:rsidRPr="009C4D78">
        <w:t>».</w:t>
      </w:r>
    </w:p>
    <w:p w14:paraId="684E4FCF" w14:textId="709BB766" w:rsidR="00726EEE" w:rsidRPr="009C4D78" w:rsidRDefault="00726EEE" w:rsidP="00726EEE">
      <w:pPr>
        <w:spacing w:after="120"/>
        <w:jc w:val="both"/>
      </w:pPr>
      <w:r w:rsidRPr="009C4D78">
        <w:t>La sous-traitance peut être employée pour les marchés de travaux, marchés de services et marchés de fournitures comportant des services ou des travaux de pose ou d’installation. Elle ne peut pas être intégrale</w:t>
      </w:r>
      <w:r w:rsidR="006353BB">
        <w:rPr>
          <w:rStyle w:val="Appelnotedebasdep"/>
        </w:rPr>
        <w:footnoteReference w:id="59"/>
      </w:r>
      <w:r w:rsidRPr="009C4D78">
        <w:t xml:space="preserve">. </w:t>
      </w:r>
    </w:p>
    <w:p w14:paraId="7EAFA0BE" w14:textId="1C1EB6A7" w:rsidR="00A06A94" w:rsidRDefault="00A06A94" w:rsidP="00A06A94">
      <w:pPr>
        <w:spacing w:after="120"/>
        <w:jc w:val="both"/>
      </w:pPr>
      <w:r w:rsidRPr="00A06A94">
        <w:t xml:space="preserve">Le recours à la sous-traitance permet aux </w:t>
      </w:r>
      <w:r>
        <w:t xml:space="preserve">entreprises </w:t>
      </w:r>
      <w:r w:rsidRPr="00A06A94">
        <w:t xml:space="preserve">de </w:t>
      </w:r>
      <w:r w:rsidRPr="005C15D3">
        <w:rPr>
          <w:b/>
        </w:rPr>
        <w:t>s’adjoindre les compétences et capacités d’autres opérateurs</w:t>
      </w:r>
      <w:r w:rsidRPr="00A06A94">
        <w:t>. E</w:t>
      </w:r>
      <w:r w:rsidR="00726EEE">
        <w:t>n ce sens, e</w:t>
      </w:r>
      <w:r w:rsidRPr="00A06A94">
        <w:t xml:space="preserve">lle </w:t>
      </w:r>
      <w:r>
        <w:t>peut contribuer à</w:t>
      </w:r>
      <w:r w:rsidRPr="00A06A94">
        <w:t xml:space="preserve"> l’accès des</w:t>
      </w:r>
      <w:r>
        <w:t xml:space="preserve"> TPE/PME </w:t>
      </w:r>
      <w:r w:rsidRPr="00A06A94">
        <w:t>à la commande publique</w:t>
      </w:r>
      <w:r>
        <w:t>, même si celles-ci préfèreront généralement le statut de titulaire ou de cotraitant à celui de sous-traitant, lié par un contrat de droit privé à une entreprise de plus grande envergure</w:t>
      </w:r>
      <w:r w:rsidR="00405218">
        <w:t xml:space="preserve"> et ne bénéficiant pas </w:t>
      </w:r>
      <w:r w:rsidR="00405218" w:rsidRPr="00405218">
        <w:t>des conditions particulières du marché public (CCAP notamment).</w:t>
      </w:r>
    </w:p>
    <w:p w14:paraId="6089A0F8" w14:textId="74A5CD3E" w:rsidR="00405218" w:rsidRDefault="00405218" w:rsidP="00405218">
      <w:pPr>
        <w:spacing w:after="120"/>
        <w:jc w:val="both"/>
      </w:pPr>
      <w:r w:rsidRPr="00B2338C">
        <w:rPr>
          <w:noProof/>
          <w:lang w:eastAsia="fr-FR"/>
        </w:rPr>
        <w:drawing>
          <wp:anchor distT="0" distB="0" distL="114300" distR="114300" simplePos="0" relativeHeight="251832320" behindDoc="1" locked="0" layoutInCell="1" allowOverlap="1" wp14:anchorId="2CF80ED7" wp14:editId="0ED83C96">
            <wp:simplePos x="0" y="0"/>
            <wp:positionH relativeFrom="margin">
              <wp:align>right</wp:align>
            </wp:positionH>
            <wp:positionV relativeFrom="paragraph">
              <wp:posOffset>267660</wp:posOffset>
            </wp:positionV>
            <wp:extent cx="716280" cy="694690"/>
            <wp:effectExtent l="0" t="0" r="7620" b="0"/>
            <wp:wrapTight wrapText="bothSides">
              <wp:wrapPolygon edited="0">
                <wp:start x="8043" y="1185"/>
                <wp:lineTo x="574" y="10662"/>
                <wp:lineTo x="0" y="16585"/>
                <wp:lineTo x="0" y="19547"/>
                <wp:lineTo x="21255" y="19547"/>
                <wp:lineTo x="21255" y="11254"/>
                <wp:lineTo x="17234" y="7108"/>
                <wp:lineTo x="13213" y="1185"/>
                <wp:lineTo x="8043" y="1185"/>
              </wp:wrapPolygon>
            </wp:wrapTight>
            <wp:docPr id="58" name="Image 58" descr="C:\Users\schleilat-adc\Downloads\connected-users-in-flow-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hleilat-adc\Downloads\connected-users-in-flow-chart.png"/>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716280" cy="694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A707B">
        <w:t xml:space="preserve">L’absence de liens contractuels entre l’acheteur et le sous-traitant a pour conséquence que l’acheteur ne peut </w:t>
      </w:r>
      <w:r>
        <w:t xml:space="preserve">pas </w:t>
      </w:r>
      <w:r w:rsidRPr="009A707B">
        <w:t>commander des prestations directement au sous-traitant.</w:t>
      </w:r>
    </w:p>
    <w:p w14:paraId="24E99A2F" w14:textId="209F37AA" w:rsidR="009A707B" w:rsidRDefault="00BE3533" w:rsidP="009A707B">
      <w:pPr>
        <w:spacing w:after="60"/>
        <w:jc w:val="both"/>
      </w:pPr>
      <w:r>
        <w:t xml:space="preserve">Le titulaire </w:t>
      </w:r>
      <w:r w:rsidRPr="009C4D78">
        <w:t xml:space="preserve">peut recourir à la sous-traitance </w:t>
      </w:r>
      <w:r w:rsidRPr="005C15D3">
        <w:rPr>
          <w:b/>
        </w:rPr>
        <w:t>à tout moment du marché</w:t>
      </w:r>
      <w:r w:rsidRPr="009C4D78">
        <w:t xml:space="preserve"> (passation ou exécution)</w:t>
      </w:r>
      <w:r>
        <w:t xml:space="preserve">. Il </w:t>
      </w:r>
      <w:r w:rsidR="009C4D78" w:rsidRPr="009C4D78">
        <w:t xml:space="preserve">reste seul responsable de l’ensemble des prestations exécutées par lui-même et par le(s) sous-traitant(s), </w:t>
      </w:r>
      <w:r w:rsidR="009C4D78" w:rsidRPr="007E7F5A">
        <w:rPr>
          <w:i/>
        </w:rPr>
        <w:t>a contrario</w:t>
      </w:r>
      <w:r w:rsidR="009C4D78" w:rsidRPr="009C4D78">
        <w:t xml:space="preserve"> d’une situation de </w:t>
      </w:r>
      <w:hyperlink w:anchor="_Fiche_6_:" w:history="1">
        <w:r w:rsidR="007E7F5A" w:rsidRPr="007E7F5A">
          <w:rPr>
            <w:rStyle w:val="Lienhypertexte"/>
          </w:rPr>
          <w:t>groupement d’entreprises</w:t>
        </w:r>
      </w:hyperlink>
      <w:r w:rsidR="009C4D78" w:rsidRPr="009C4D78">
        <w:t xml:space="preserve">. </w:t>
      </w:r>
    </w:p>
    <w:p w14:paraId="74DC4C62" w14:textId="7C3320B5" w:rsidR="00036932" w:rsidRDefault="00036932" w:rsidP="00036932">
      <w:pPr>
        <w:spacing w:after="120"/>
        <w:jc w:val="both"/>
      </w:pPr>
      <w:r w:rsidRPr="00036932">
        <w:t xml:space="preserve">Il est à noter que le sous-traitant direct (ou de 1er rang) du titulaire du marché public peut à son tour faire appel à un sous-traitant, dit sous-traitant indirect (ou de 2nd </w:t>
      </w:r>
      <w:r>
        <w:t xml:space="preserve">rang). </w:t>
      </w:r>
      <w:r w:rsidR="00074CFD" w:rsidRPr="00074CFD">
        <w:t>Il est alors considéré, vis à vis de son propre sous-traitant, comme entrepreneur principal</w:t>
      </w:r>
      <w:r w:rsidR="00074CFD">
        <w:t xml:space="preserve">. </w:t>
      </w:r>
    </w:p>
    <w:p w14:paraId="34B3FDEA" w14:textId="2F120AD7" w:rsidR="00FB1907" w:rsidRDefault="003818B0" w:rsidP="003818B0">
      <w:pPr>
        <w:spacing w:before="120" w:after="120"/>
        <w:jc w:val="both"/>
      </w:pPr>
      <w:r>
        <w:t xml:space="preserve">L’article </w:t>
      </w:r>
      <w:r w:rsidRPr="00304432">
        <w:t>L</w:t>
      </w:r>
      <w:r>
        <w:t>.</w:t>
      </w:r>
      <w:r w:rsidRPr="00304432">
        <w:t xml:space="preserve"> 2193-3 du CCP </w:t>
      </w:r>
      <w:r>
        <w:t xml:space="preserve">prévoit que </w:t>
      </w:r>
      <w:r w:rsidRPr="00304432">
        <w:t>« </w:t>
      </w:r>
      <w:r w:rsidRPr="00304432">
        <w:rPr>
          <w:i/>
          <w:iCs/>
        </w:rPr>
        <w:t xml:space="preserve">l'acheteur peut exiger que certaines </w:t>
      </w:r>
      <w:r w:rsidRPr="003818B0">
        <w:rPr>
          <w:b/>
          <w:i/>
          <w:iCs/>
        </w:rPr>
        <w:t>tâches essentielles</w:t>
      </w:r>
      <w:r w:rsidRPr="00304432">
        <w:rPr>
          <w:i/>
          <w:iCs/>
        </w:rPr>
        <w:t xml:space="preserve"> du marché soient </w:t>
      </w:r>
      <w:r w:rsidRPr="003818B0">
        <w:rPr>
          <w:b/>
          <w:i/>
          <w:iCs/>
        </w:rPr>
        <w:t>effectuées directement par le titulaire</w:t>
      </w:r>
      <w:r>
        <w:t xml:space="preserve"> ». </w:t>
      </w:r>
      <w:r w:rsidRPr="00304432">
        <w:t>Cette disposition</w:t>
      </w:r>
      <w:r w:rsidR="00771FA7">
        <w:t xml:space="preserve"> récente est encore peu</w:t>
      </w:r>
      <w:r w:rsidRPr="00304432">
        <w:t xml:space="preserve"> mise en œuvre par les acheteurs, mais elle constitue une potentialité </w:t>
      </w:r>
      <w:r w:rsidR="00771FA7">
        <w:t>intéressante pour les prestations sensibles</w:t>
      </w:r>
      <w:r w:rsidR="00C177E5">
        <w:t xml:space="preserve"> (ex : marché de destruction de documents confidentiels). </w:t>
      </w:r>
      <w:r w:rsidR="00BA7851" w:rsidRPr="00BA7851">
        <w:t xml:space="preserve">L’acheteur ne peut </w:t>
      </w:r>
      <w:r w:rsidR="00BA7851">
        <w:t>toutefois pas</w:t>
      </w:r>
      <w:r w:rsidR="00BA7851" w:rsidRPr="00BA7851">
        <w:t xml:space="preserve"> imposer au titulaire d’exécuter lui-même l’intégralité des prestations du contrat.</w:t>
      </w:r>
    </w:p>
    <w:p w14:paraId="37F017A1" w14:textId="1E853328" w:rsidR="003818B0" w:rsidRDefault="00FB1907" w:rsidP="003818B0">
      <w:pPr>
        <w:spacing w:before="120" w:after="120"/>
        <w:jc w:val="both"/>
      </w:pPr>
      <w:r>
        <w:t xml:space="preserve">Pour procéder à </w:t>
      </w:r>
      <w:r w:rsidR="00BA7851">
        <w:t>une</w:t>
      </w:r>
      <w:r>
        <w:t xml:space="preserve"> limitation </w:t>
      </w:r>
      <w:r w:rsidR="00BA7851">
        <w:t xml:space="preserve">partielle </w:t>
      </w:r>
      <w:r>
        <w:t>de la sous-traitance,</w:t>
      </w:r>
      <w:r w:rsidR="005B367A">
        <w:t xml:space="preserve"> dont l’impact sur la participation des entreprises n’est pas neutre,</w:t>
      </w:r>
      <w:r>
        <w:t xml:space="preserve"> il faut cependant avoir une bonne </w:t>
      </w:r>
      <w:r w:rsidR="003818B0" w:rsidRPr="00304432">
        <w:t xml:space="preserve">connaissance du secteur </w:t>
      </w:r>
      <w:r>
        <w:t xml:space="preserve">concerné </w:t>
      </w:r>
      <w:r w:rsidR="003818B0" w:rsidRPr="00304432">
        <w:t>ou bien</w:t>
      </w:r>
      <w:r>
        <w:t xml:space="preserve"> disposer d’un</w:t>
      </w:r>
      <w:r w:rsidR="003818B0" w:rsidRPr="00304432">
        <w:t xml:space="preserve"> retour d’e</w:t>
      </w:r>
      <w:r>
        <w:t>xpérience de précédents marchés, qui permettent d’établir pourquoi certaines prestations, de par leur nature, ne devraient pas être sous-traitées</w:t>
      </w:r>
      <w:r w:rsidR="003818B0" w:rsidRPr="00304432">
        <w:t>.</w:t>
      </w:r>
    </w:p>
    <w:p w14:paraId="029BE730" w14:textId="4902BCBE" w:rsidR="00304432" w:rsidRPr="00304432" w:rsidRDefault="00DF2CD8" w:rsidP="009A707B">
      <w:pPr>
        <w:pStyle w:val="Titre3"/>
        <w:spacing w:before="240"/>
      </w:pPr>
      <w:bookmarkStart w:id="51" w:name="_Toc7425953"/>
      <w:r>
        <w:t>Appreciation de</w:t>
      </w:r>
      <w:r w:rsidR="00304432" w:rsidRPr="00304432">
        <w:t>s sous-trai</w:t>
      </w:r>
      <w:r>
        <w:t>tants dès le stade des offres</w:t>
      </w:r>
      <w:bookmarkEnd w:id="51"/>
    </w:p>
    <w:p w14:paraId="5E2C0502" w14:textId="0BF02DB3" w:rsidR="005C3C5C" w:rsidRDefault="005C3C5C" w:rsidP="005C3C5C">
      <w:pPr>
        <w:spacing w:after="120"/>
        <w:jc w:val="both"/>
      </w:pPr>
      <w:r>
        <w:t>L’article R. 2142-3 du CCP autorise le candidat à un marché public à se prévaloir de la capacité économique et financière ou des capacités techniques et professionnelles d’autres opérateurs économiques auxquels il entend faire appel pour la réalisation de prestations.</w:t>
      </w:r>
      <w:r w:rsidR="00BE3533">
        <w:t xml:space="preserve"> Dans ce cadre, la notification du marché emportera acceptation et agrément du sous-traitant (cf</w:t>
      </w:r>
      <w:r w:rsidR="00ED6C88">
        <w:t>.</w:t>
      </w:r>
      <w:r w:rsidR="00BE3533">
        <w:t xml:space="preserve"> </w:t>
      </w:r>
      <w:r w:rsidR="00BE3533" w:rsidRPr="00ED6C88">
        <w:rPr>
          <w:i/>
        </w:rPr>
        <w:t>infra</w:t>
      </w:r>
      <w:r w:rsidR="00ED6C88">
        <w:t xml:space="preserve">). </w:t>
      </w:r>
    </w:p>
    <w:p w14:paraId="4CB888DD" w14:textId="29497AC5" w:rsidR="005C3C5C" w:rsidRDefault="005C3C5C" w:rsidP="005C3C5C">
      <w:pPr>
        <w:spacing w:after="120"/>
        <w:jc w:val="both"/>
      </w:pPr>
      <w:r>
        <w:t>L’acheteur peut aussi demander dans les documents de la consultation aux candidats d’indiquer dans leur offre la part du marché public qu’ils ont l’intention de sous-traiter à des tiers</w:t>
      </w:r>
      <w:r w:rsidR="0032149A">
        <w:t xml:space="preserve"> (article </w:t>
      </w:r>
      <w:r w:rsidR="0032149A" w:rsidRPr="0032149A">
        <w:t>R. 2151-13</w:t>
      </w:r>
      <w:r w:rsidR="0032149A">
        <w:t xml:space="preserve">). </w:t>
      </w:r>
    </w:p>
    <w:p w14:paraId="61AB72E8" w14:textId="52AA587D" w:rsidR="00304432" w:rsidRPr="00304432" w:rsidRDefault="008D47D8" w:rsidP="00304432">
      <w:pPr>
        <w:spacing w:after="120"/>
        <w:jc w:val="both"/>
      </w:pPr>
      <w:r w:rsidRPr="006D739D">
        <w:rPr>
          <w:noProof/>
          <w:lang w:eastAsia="fr-FR"/>
        </w:rPr>
        <w:drawing>
          <wp:anchor distT="0" distB="0" distL="114300" distR="114300" simplePos="0" relativeHeight="251834368" behindDoc="0" locked="0" layoutInCell="1" allowOverlap="1" wp14:anchorId="047CB329" wp14:editId="4E795669">
            <wp:simplePos x="0" y="0"/>
            <wp:positionH relativeFrom="margin">
              <wp:align>left</wp:align>
            </wp:positionH>
            <wp:positionV relativeFrom="paragraph">
              <wp:posOffset>6375</wp:posOffset>
            </wp:positionV>
            <wp:extent cx="374650" cy="340360"/>
            <wp:effectExtent l="0" t="0" r="6350" b="2540"/>
            <wp:wrapSquare wrapText="bothSides"/>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74650" cy="340360"/>
                    </a:xfrm>
                    <a:prstGeom prst="rect">
                      <a:avLst/>
                    </a:prstGeom>
                  </pic:spPr>
                </pic:pic>
              </a:graphicData>
            </a:graphic>
            <wp14:sizeRelH relativeFrom="page">
              <wp14:pctWidth>0</wp14:pctWidth>
            </wp14:sizeRelH>
            <wp14:sizeRelV relativeFrom="page">
              <wp14:pctHeight>0</wp14:pctHeight>
            </wp14:sizeRelV>
          </wp:anchor>
        </w:drawing>
      </w:r>
      <w:r w:rsidR="00BD354C">
        <w:t xml:space="preserve">Les informations communiquées par les soumissionnaires ne sont </w:t>
      </w:r>
      <w:r>
        <w:t>pas contraignantes pour l’exécution des prestations, un changement de sous-traitant étant possible à tout moment. C</w:t>
      </w:r>
      <w:r w:rsidR="00BD354C">
        <w:t xml:space="preserve">ependant il est recommandé de questionner dès le stade des offres les entreprises sur le volet sous-traitance, dans une </w:t>
      </w:r>
      <w:r w:rsidR="00304432" w:rsidRPr="00BD354C">
        <w:rPr>
          <w:b/>
        </w:rPr>
        <w:lastRenderedPageBreak/>
        <w:t>démarche de transparence</w:t>
      </w:r>
      <w:r>
        <w:t>, qui participe à la</w:t>
      </w:r>
      <w:r w:rsidR="00304432" w:rsidRPr="00304432">
        <w:t xml:space="preserve"> bonn</w:t>
      </w:r>
      <w:r>
        <w:t>e exécution des marchés publics</w:t>
      </w:r>
      <w:r w:rsidR="00304432" w:rsidRPr="00304432">
        <w:t xml:space="preserve">, à la </w:t>
      </w:r>
      <w:hyperlink w:anchor="_Fiche_9_:" w:history="1">
        <w:r w:rsidR="00304432" w:rsidRPr="008D47D8">
          <w:rPr>
            <w:rStyle w:val="Lienhypertexte"/>
          </w:rPr>
          <w:t>lutte contre les OAB</w:t>
        </w:r>
      </w:hyperlink>
      <w:r w:rsidR="00744FDD">
        <w:t xml:space="preserve"> et </w:t>
      </w:r>
      <w:r w:rsidR="00304432" w:rsidRPr="00304432">
        <w:t>à la valorisation de la</w:t>
      </w:r>
      <w:r>
        <w:t xml:space="preserve"> plus-value des sous-traitants</w:t>
      </w:r>
      <w:r w:rsidR="00744FDD">
        <w:t>,</w:t>
      </w:r>
      <w:r>
        <w:t xml:space="preserve"> qui estiment bien souvent ne pas être reconnus à la hauteur des efforts fournis pour exécuter le marché.</w:t>
      </w:r>
    </w:p>
    <w:p w14:paraId="09642951" w14:textId="1DB9C760" w:rsidR="00304432" w:rsidRPr="00304432" w:rsidRDefault="008969A9" w:rsidP="00304432">
      <w:pPr>
        <w:spacing w:after="120"/>
        <w:jc w:val="both"/>
      </w:pPr>
      <w:r>
        <w:t>Il est nécessaire de</w:t>
      </w:r>
      <w:r w:rsidR="00304432" w:rsidRPr="00304432">
        <w:t xml:space="preserve"> mettre ce</w:t>
      </w:r>
      <w:r>
        <w:t xml:space="preserve">s demandes d’informations </w:t>
      </w:r>
      <w:r w:rsidR="00304432" w:rsidRPr="00304432">
        <w:t xml:space="preserve">avec les </w:t>
      </w:r>
      <w:hyperlink w:anchor="_Fiche_3_:" w:history="1">
        <w:r w:rsidR="00304432" w:rsidRPr="008969A9">
          <w:rPr>
            <w:rStyle w:val="Lienhypertexte"/>
          </w:rPr>
          <w:t>délais de réponse</w:t>
        </w:r>
      </w:hyperlink>
      <w:r w:rsidR="00304432" w:rsidRPr="00304432">
        <w:t xml:space="preserve"> laissés aux soumissionnaires, qui doivent être adaptés pour permettre la constitution d’offres intégrant les prestations sous-traitées. </w:t>
      </w:r>
    </w:p>
    <w:p w14:paraId="6291C5A4" w14:textId="29BF41AA" w:rsidR="00304432" w:rsidRPr="00304432" w:rsidRDefault="00304432" w:rsidP="009A707B">
      <w:pPr>
        <w:pStyle w:val="Titre3"/>
        <w:spacing w:before="240"/>
      </w:pPr>
      <w:bookmarkStart w:id="52" w:name="_Toc7425954"/>
      <w:r w:rsidRPr="00304432">
        <w:t xml:space="preserve">Contrôle des sous-traitants </w:t>
      </w:r>
      <w:r w:rsidR="00DF2CD8">
        <w:t>en cours d’exécution</w:t>
      </w:r>
      <w:bookmarkEnd w:id="52"/>
    </w:p>
    <w:p w14:paraId="17E4D6E0" w14:textId="229164E6" w:rsidR="00A47FC9" w:rsidRPr="00D12BA8" w:rsidRDefault="00B2050C" w:rsidP="00304432">
      <w:pPr>
        <w:spacing w:after="120"/>
        <w:jc w:val="both"/>
      </w:pPr>
      <w:r w:rsidRPr="008C1BC6">
        <w:rPr>
          <w:noProof/>
          <w:lang w:eastAsia="fr-FR"/>
        </w:rPr>
        <w:drawing>
          <wp:anchor distT="0" distB="0" distL="114300" distR="114300" simplePos="0" relativeHeight="251835392" behindDoc="1" locked="0" layoutInCell="1" allowOverlap="1" wp14:anchorId="049AEFFB" wp14:editId="06B5E932">
            <wp:simplePos x="0" y="0"/>
            <wp:positionH relativeFrom="margin">
              <wp:align>right</wp:align>
            </wp:positionH>
            <wp:positionV relativeFrom="paragraph">
              <wp:posOffset>74371</wp:posOffset>
            </wp:positionV>
            <wp:extent cx="469900" cy="469900"/>
            <wp:effectExtent l="0" t="0" r="6350" b="6350"/>
            <wp:wrapTight wrapText="bothSides">
              <wp:wrapPolygon edited="0">
                <wp:start x="0" y="0"/>
                <wp:lineTo x="0" y="14011"/>
                <wp:lineTo x="5254" y="21016"/>
                <wp:lineTo x="6130" y="21016"/>
                <wp:lineTo x="21016" y="21016"/>
                <wp:lineTo x="21016" y="0"/>
                <wp:lineTo x="0" y="0"/>
              </wp:wrapPolygon>
            </wp:wrapTight>
            <wp:docPr id="63" name="Image 63" descr="K:\1ESD\1C\COMMUN1C\11. Innovation\GT guide achats innovants\Projet de guide\Icônes\male-job-search-symbo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1ESD\1C\COMMUN1C\11. Innovation\GT guide achats innovants\Projet de guide\Icônes\male-job-search-symbol(1).png"/>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7FC9" w:rsidRPr="00A47FC9">
        <w:t xml:space="preserve">Aux termes de </w:t>
      </w:r>
      <w:r w:rsidR="00A47FC9">
        <w:t xml:space="preserve">l’article L. 2193-10 du code, </w:t>
      </w:r>
      <w:r w:rsidR="00A47FC9" w:rsidRPr="00A47FC9">
        <w:t xml:space="preserve">le titulaire n’est autorisé à sous-traiter l’exécution de certaines prestations du marché public qu’à la condition d’avoir obtenu de l’acheteur </w:t>
      </w:r>
      <w:r w:rsidR="00A47FC9" w:rsidRPr="001C6725">
        <w:rPr>
          <w:b/>
        </w:rPr>
        <w:t xml:space="preserve">l’acceptation des sous-traitants </w:t>
      </w:r>
      <w:r w:rsidR="00D12BA8">
        <w:t xml:space="preserve">– </w:t>
      </w:r>
      <w:r w:rsidR="00361762" w:rsidRPr="00361762">
        <w:t>quel que soit leur rang</w:t>
      </w:r>
      <w:r w:rsidR="00D12BA8">
        <w:t xml:space="preserve"> –</w:t>
      </w:r>
      <w:r w:rsidR="00361762">
        <w:rPr>
          <w:b/>
        </w:rPr>
        <w:t xml:space="preserve"> </w:t>
      </w:r>
      <w:r w:rsidR="00A47FC9" w:rsidRPr="001C6725">
        <w:rPr>
          <w:b/>
        </w:rPr>
        <w:t>et l’agrément de leur condition</w:t>
      </w:r>
      <w:r w:rsidR="00361762">
        <w:rPr>
          <w:b/>
        </w:rPr>
        <w:t>s</w:t>
      </w:r>
      <w:r w:rsidR="00A47FC9" w:rsidRPr="001C6725">
        <w:rPr>
          <w:b/>
        </w:rPr>
        <w:t xml:space="preserve"> de paiement</w:t>
      </w:r>
      <w:r w:rsidR="00D12BA8">
        <w:rPr>
          <w:b/>
        </w:rPr>
        <w:t xml:space="preserve"> </w:t>
      </w:r>
      <w:r w:rsidR="00D12BA8" w:rsidRPr="00D12BA8">
        <w:t>(délai, montant, révision de prix, avance, nantissement de créance</w:t>
      </w:r>
      <w:r w:rsidR="00D12BA8" w:rsidRPr="00D12BA8">
        <w:t>…</w:t>
      </w:r>
      <w:r w:rsidR="00D12BA8" w:rsidRPr="00D12BA8">
        <w:t>)</w:t>
      </w:r>
      <w:r w:rsidR="00A47FC9" w:rsidRPr="00D12BA8">
        <w:t>.</w:t>
      </w:r>
    </w:p>
    <w:p w14:paraId="4E36A30A" w14:textId="511BFB3C" w:rsidR="001C6725" w:rsidRDefault="001C6725" w:rsidP="00304432">
      <w:pPr>
        <w:spacing w:after="120"/>
        <w:jc w:val="both"/>
      </w:pPr>
      <w:r w:rsidRPr="001C6725">
        <w:t>Ces deux formalités, indépendantes du montant de la sous-traitance envisagée, doivent être simultanément réunies pour que la sous-traitance soit considérée comme régulière</w:t>
      </w:r>
      <w:r>
        <w:t xml:space="preserve">. </w:t>
      </w:r>
    </w:p>
    <w:p w14:paraId="43FEE919" w14:textId="31481494" w:rsidR="00F4584B" w:rsidRDefault="00F4584B" w:rsidP="00304432">
      <w:pPr>
        <w:spacing w:after="120"/>
        <w:jc w:val="both"/>
      </w:pPr>
      <w:r w:rsidRPr="00F4584B">
        <w:t xml:space="preserve">Le </w:t>
      </w:r>
      <w:hyperlink r:id="rId88" w:history="1">
        <w:r w:rsidRPr="00F4584B">
          <w:rPr>
            <w:rStyle w:val="Lienhypertexte"/>
          </w:rPr>
          <w:t>formulaire DC4</w:t>
        </w:r>
      </w:hyperlink>
      <w:r w:rsidRPr="00F4584B">
        <w:t xml:space="preserve">, proposé par la direction des affaires juridiques, est un modèle de déclaration de sous-traitance qui peut être utilisé par les candidats ou </w:t>
      </w:r>
      <w:r>
        <w:t xml:space="preserve">le </w:t>
      </w:r>
      <w:r w:rsidRPr="00F4584B">
        <w:t>titulaire du marché public pour présenter un sous-traitant</w:t>
      </w:r>
      <w:r w:rsidR="000376DF">
        <w:rPr>
          <w:rStyle w:val="Appelnotedebasdep"/>
        </w:rPr>
        <w:footnoteReference w:id="60"/>
      </w:r>
      <w:r w:rsidRPr="00F4584B">
        <w:t>, ou qui doit l’être, si l’acheteur qui passe le marché public l’exige.</w:t>
      </w:r>
      <w:r w:rsidR="00667666">
        <w:t xml:space="preserve"> On constate qu’il est généralement employé par les acheteurs car il permet d</w:t>
      </w:r>
      <w:r w:rsidR="002B5ADC">
        <w:t>e garantir que l’ensemble des mentions obligatoires ont été renseignées et d’</w:t>
      </w:r>
      <w:r w:rsidR="002B5ADC" w:rsidRPr="008969A9">
        <w:rPr>
          <w:b/>
        </w:rPr>
        <w:t>u</w:t>
      </w:r>
      <w:r w:rsidR="00667666" w:rsidRPr="008969A9">
        <w:rPr>
          <w:b/>
        </w:rPr>
        <w:t xml:space="preserve">niformiser des pratiques </w:t>
      </w:r>
      <w:r w:rsidR="00667666">
        <w:t>en la matière</w:t>
      </w:r>
      <w:r w:rsidR="002B5ADC">
        <w:t xml:space="preserve"> (ce qui constitue un gain de temps pour les entreprises). </w:t>
      </w:r>
    </w:p>
    <w:p w14:paraId="53A37D99" w14:textId="55C2BEBA" w:rsidR="008C1BC6" w:rsidRDefault="00304432" w:rsidP="008C1BC6">
      <w:pPr>
        <w:spacing w:after="120"/>
        <w:jc w:val="both"/>
      </w:pPr>
      <w:r w:rsidRPr="00304432">
        <w:t>Si les acheteurs procèdent effectivement à la vérification des capacités des sous-traitants (compétence technique, aspects réglementaires…), il y a en revanche peu de refus d’agrément, ce qui es</w:t>
      </w:r>
      <w:r w:rsidR="00DD0F24">
        <w:t xml:space="preserve">t confirmé par les fédérations professionnelles. </w:t>
      </w:r>
    </w:p>
    <w:p w14:paraId="1C48D648" w14:textId="4970CEFE" w:rsidR="00361762" w:rsidRDefault="008C1BC6" w:rsidP="00361762">
      <w:pPr>
        <w:spacing w:after="60"/>
        <w:jc w:val="both"/>
      </w:pPr>
      <w:r w:rsidRPr="009C4D78">
        <w:t xml:space="preserve">La personne publique peut </w:t>
      </w:r>
      <w:r>
        <w:t xml:space="preserve">en outre </w:t>
      </w:r>
      <w:r w:rsidRPr="009C4D78">
        <w:t xml:space="preserve">demander la </w:t>
      </w:r>
      <w:r w:rsidRPr="008C1BC6">
        <w:rPr>
          <w:b/>
        </w:rPr>
        <w:t>communication du contrat de sous-traitance</w:t>
      </w:r>
      <w:r w:rsidRPr="009C4D78">
        <w:t xml:space="preserve"> dans une logique de </w:t>
      </w:r>
      <w:r>
        <w:t xml:space="preserve">connaissance des engagements </w:t>
      </w:r>
      <w:r w:rsidR="00361762">
        <w:t>de</w:t>
      </w:r>
      <w:r>
        <w:t xml:space="preserve"> </w:t>
      </w:r>
      <w:r w:rsidR="00361762" w:rsidRPr="00361762">
        <w:t xml:space="preserve">l’entreprise principale </w:t>
      </w:r>
      <w:r>
        <w:t xml:space="preserve">et du sous-traitant. </w:t>
      </w:r>
      <w:r w:rsidR="00361762">
        <w:t xml:space="preserve">Ce </w:t>
      </w:r>
      <w:r w:rsidR="00361762" w:rsidRPr="00361762">
        <w:t>contrat de droit privé</w:t>
      </w:r>
      <w:r w:rsidR="00361762">
        <w:t>,</w:t>
      </w:r>
      <w:r w:rsidR="00361762" w:rsidRPr="00361762">
        <w:t xml:space="preserve"> conclu pour chaque marché</w:t>
      </w:r>
      <w:r w:rsidR="00361762">
        <w:t>,</w:t>
      </w:r>
      <w:r w:rsidR="00361762" w:rsidRPr="00361762">
        <w:t xml:space="preserve"> </w:t>
      </w:r>
      <w:r w:rsidR="00361762">
        <w:t xml:space="preserve">décrit </w:t>
      </w:r>
      <w:r w:rsidR="00361762" w:rsidRPr="00361762">
        <w:t xml:space="preserve">: </w:t>
      </w:r>
    </w:p>
    <w:p w14:paraId="0FB7BFA4" w14:textId="16267DC5" w:rsidR="00361762" w:rsidRDefault="00361762" w:rsidP="00361762">
      <w:pPr>
        <w:pStyle w:val="Paragraphedeliste"/>
        <w:numPr>
          <w:ilvl w:val="0"/>
          <w:numId w:val="37"/>
        </w:numPr>
        <w:spacing w:before="60" w:after="120"/>
        <w:jc w:val="both"/>
      </w:pPr>
      <w:r w:rsidRPr="00361762">
        <w:t xml:space="preserve">les droits et obligations respectifs auxquels s’engagent </w:t>
      </w:r>
      <w:r>
        <w:t>chaque partie l’une envers l’autre ;</w:t>
      </w:r>
      <w:r w:rsidRPr="00361762">
        <w:t xml:space="preserve"> </w:t>
      </w:r>
    </w:p>
    <w:p w14:paraId="249086DB" w14:textId="081CA704" w:rsidR="00361762" w:rsidRPr="00361762" w:rsidRDefault="00361762" w:rsidP="00361762">
      <w:pPr>
        <w:pStyle w:val="Paragraphedeliste"/>
        <w:numPr>
          <w:ilvl w:val="0"/>
          <w:numId w:val="37"/>
        </w:numPr>
        <w:spacing w:after="120"/>
        <w:jc w:val="both"/>
      </w:pPr>
      <w:r w:rsidRPr="00361762">
        <w:t>les conditions financières notamment le prix</w:t>
      </w:r>
      <w:r w:rsidR="00836849">
        <w:t xml:space="preserve"> (et ses modalités de variation)</w:t>
      </w:r>
      <w:r w:rsidRPr="00361762">
        <w:t xml:space="preserve">, les pénalités ou indemnisations éventuelles. </w:t>
      </w:r>
    </w:p>
    <w:p w14:paraId="651E6C24" w14:textId="0C0EC599" w:rsidR="00027627" w:rsidRDefault="00361762" w:rsidP="00361762">
      <w:pPr>
        <w:spacing w:after="120"/>
        <w:jc w:val="both"/>
      </w:pPr>
      <w:r w:rsidRPr="00361762">
        <w:t>Des modèles types de contrats et des chartes visant à développer les bonnes pratiques entre les sous-traitants et les entreprises principales ont été élaborés par les organisations professionnelles afin de faciliter et d’équilibrer leurs relations contractuelles</w:t>
      </w:r>
      <w:r w:rsidR="00EF5614">
        <w:rPr>
          <w:rStyle w:val="Appelnotedebasdep"/>
        </w:rPr>
        <w:footnoteReference w:id="61"/>
      </w:r>
      <w:r w:rsidRPr="00361762">
        <w:t>.</w:t>
      </w:r>
      <w:r w:rsidR="00027627">
        <w:t xml:space="preserve"> </w:t>
      </w:r>
    </w:p>
    <w:p w14:paraId="3215DD94" w14:textId="05067691" w:rsidR="00361762" w:rsidRPr="00027627" w:rsidRDefault="00027627" w:rsidP="00361762">
      <w:pPr>
        <w:spacing w:after="120"/>
        <w:jc w:val="both"/>
        <w:rPr>
          <w:color w:val="FF0000"/>
        </w:rPr>
      </w:pPr>
      <w:r w:rsidRPr="00027627">
        <w:rPr>
          <w:color w:val="FF0000"/>
        </w:rPr>
        <w:t xml:space="preserve">Si l’acheteur ne </w:t>
      </w:r>
      <w:r w:rsidR="0038311C">
        <w:rPr>
          <w:color w:val="FF0000"/>
        </w:rPr>
        <w:t xml:space="preserve">peut intervenir dans le cadre de </w:t>
      </w:r>
      <w:r w:rsidR="00E208E7">
        <w:rPr>
          <w:color w:val="FF0000"/>
        </w:rPr>
        <w:t>relations privées</w:t>
      </w:r>
      <w:r w:rsidRPr="00027627">
        <w:rPr>
          <w:color w:val="FF0000"/>
        </w:rPr>
        <w:t xml:space="preserve">, demander de plus en plus fréquemment le contrat de sous-traitance participera à terme à l’amélioration des conditions </w:t>
      </w:r>
      <w:r w:rsidR="0038311C">
        <w:rPr>
          <w:color w:val="FF0000"/>
        </w:rPr>
        <w:t xml:space="preserve">de recours à </w:t>
      </w:r>
      <w:r w:rsidRPr="00027627">
        <w:rPr>
          <w:color w:val="FF0000"/>
        </w:rPr>
        <w:t>de</w:t>
      </w:r>
      <w:r w:rsidR="00E208E7">
        <w:rPr>
          <w:color w:val="FF0000"/>
        </w:rPr>
        <w:t>s entreprises sous-traitantes.</w:t>
      </w:r>
      <w:r w:rsidR="0038311C">
        <w:rPr>
          <w:color w:val="FF0000"/>
        </w:rPr>
        <w:t xml:space="preserve"> Il est par ailleurs loisible à l’acheteur de</w:t>
      </w:r>
      <w:r w:rsidR="0038311C" w:rsidRPr="0038311C">
        <w:rPr>
          <w:color w:val="FF0000"/>
        </w:rPr>
        <w:t xml:space="preserve"> refuser d’agréer des conditions de paiement qui lui sembleraient trop déséquilibrées.</w:t>
      </w:r>
    </w:p>
    <w:p w14:paraId="2D37BBAF" w14:textId="77777777" w:rsidR="0038311C" w:rsidRDefault="008C1BC6" w:rsidP="0038311C">
      <w:pPr>
        <w:spacing w:after="40"/>
        <w:jc w:val="both"/>
      </w:pPr>
      <w:r>
        <w:t>Pour les projets d’envergure faisant appel à une multiplicité de prestataires, a</w:t>
      </w:r>
      <w:r w:rsidR="00304432" w:rsidRPr="00304432">
        <w:t xml:space="preserve">fin de mieux piloter la sous-traitance et de lutter contre la sous-traitance non déclarée, plusieurs mesures peuvent être mises en place. </w:t>
      </w:r>
    </w:p>
    <w:p w14:paraId="6E4328CF" w14:textId="4E27EEEE" w:rsidR="00304432" w:rsidRDefault="00304432" w:rsidP="0038311C">
      <w:pPr>
        <w:spacing w:before="40" w:after="120"/>
        <w:jc w:val="both"/>
      </w:pPr>
      <w:r w:rsidRPr="00304432">
        <w:t>Ex</w:t>
      </w:r>
      <w:r w:rsidR="00B2338C">
        <w:t>emples</w:t>
      </w:r>
      <w:r w:rsidRPr="00304432">
        <w:t xml:space="preserve"> : partager un </w:t>
      </w:r>
      <w:r w:rsidRPr="00B2338C">
        <w:rPr>
          <w:b/>
        </w:rPr>
        <w:t>tableau de suivi</w:t>
      </w:r>
      <w:r w:rsidR="00B2338C">
        <w:t xml:space="preserve"> régulièrement mis à jour</w:t>
      </w:r>
      <w:r w:rsidRPr="00304432">
        <w:t xml:space="preserve">, qui indiquerait la nature et le montant des prestations sous-traitées par le titulaire, appliquer des </w:t>
      </w:r>
      <w:r w:rsidRPr="004D2232">
        <w:t>pénalités</w:t>
      </w:r>
      <w:r w:rsidR="00B2338C" w:rsidRPr="004D2232">
        <w:t xml:space="preserve"> sévères</w:t>
      </w:r>
      <w:r w:rsidRPr="004D2232">
        <w:t xml:space="preserve"> pour</w:t>
      </w:r>
      <w:r w:rsidR="00B2338C" w:rsidRPr="004D2232">
        <w:t xml:space="preserve"> à toute situation de</w:t>
      </w:r>
      <w:r w:rsidRPr="004D2232">
        <w:t xml:space="preserve"> so</w:t>
      </w:r>
      <w:r w:rsidR="00B2338C" w:rsidRPr="004D2232">
        <w:t>us-traitance non déclarée</w:t>
      </w:r>
      <w:r w:rsidRPr="004D2232">
        <w:t xml:space="preserve">, rappeler </w:t>
      </w:r>
      <w:r w:rsidR="00B2338C" w:rsidRPr="004D2232">
        <w:t>aux maîtres d’ouvrage et maitres</w:t>
      </w:r>
      <w:r w:rsidRPr="004D2232">
        <w:t xml:space="preserve"> d’œuvre </w:t>
      </w:r>
      <w:r w:rsidR="00B2338C" w:rsidRPr="004D2232">
        <w:t>l’obligation de vigilance</w:t>
      </w:r>
      <w:r w:rsidR="00B2338C" w:rsidRPr="00B2338C">
        <w:rPr>
          <w:b/>
        </w:rPr>
        <w:t xml:space="preserve"> </w:t>
      </w:r>
      <w:r w:rsidRPr="00304432">
        <w:t>sur le</w:t>
      </w:r>
      <w:r w:rsidR="00B2338C">
        <w:t>s</w:t>
      </w:r>
      <w:r w:rsidRPr="00304432">
        <w:t xml:space="preserve"> chantier</w:t>
      </w:r>
      <w:r w:rsidR="00B2338C">
        <w:t xml:space="preserve">s, etc. </w:t>
      </w:r>
    </w:p>
    <w:p w14:paraId="0651F9E4" w14:textId="3E6A38B9" w:rsidR="004D2232" w:rsidRDefault="004D2232" w:rsidP="004D2232">
      <w:pPr>
        <w:spacing w:after="120"/>
        <w:jc w:val="both"/>
      </w:pPr>
      <w:r>
        <w:lastRenderedPageBreak/>
        <w:t>Enfin, l</w:t>
      </w:r>
      <w:r w:rsidRPr="004D2232">
        <w:t xml:space="preserve">a part des prestations sous-traitées peut être </w:t>
      </w:r>
      <w:r w:rsidRPr="004D2232">
        <w:rPr>
          <w:b/>
        </w:rPr>
        <w:t>modifiée en diminution ou en augmentation</w:t>
      </w:r>
      <w:r w:rsidRPr="004D2232">
        <w:t>. Dans tous les cas, un nouvel acte spécial ou une nouvelle déclaration de sous-traitance (formulaire DC4) comportant les modifications apportées aux prestations sous traitées est envoyé au pouvoir adjudicateur afin qu’il assure le paiement direct du sous-traitant</w:t>
      </w:r>
      <w:r>
        <w:t>.</w:t>
      </w:r>
    </w:p>
    <w:p w14:paraId="0C6FFFDB" w14:textId="1F444B8A" w:rsidR="00B2050C" w:rsidRDefault="00B2050C" w:rsidP="00DC0FC1">
      <w:pPr>
        <w:pStyle w:val="Titre3"/>
        <w:spacing w:before="240"/>
      </w:pPr>
      <w:bookmarkStart w:id="53" w:name="_Toc7425955"/>
      <w:r w:rsidRPr="00B2050C">
        <w:t>Paiement direct des</w:t>
      </w:r>
      <w:r w:rsidR="00EF5614" w:rsidRPr="00B2050C">
        <w:t xml:space="preserve"> sous-traitant</w:t>
      </w:r>
      <w:r w:rsidRPr="00B2050C">
        <w:t>s</w:t>
      </w:r>
      <w:bookmarkEnd w:id="53"/>
      <w:r w:rsidR="00EF5614" w:rsidRPr="00B2050C">
        <w:t xml:space="preserve"> </w:t>
      </w:r>
    </w:p>
    <w:p w14:paraId="3CE0B82A" w14:textId="77777777" w:rsidR="00DC0FC1" w:rsidRDefault="00DC0FC1" w:rsidP="00DC0FC1">
      <w:pPr>
        <w:spacing w:before="120" w:after="120"/>
        <w:jc w:val="both"/>
      </w:pPr>
      <w:r w:rsidRPr="00DC0FC1">
        <w:t>Le paiement direct est obligatoire dès que le montant d</w:t>
      </w:r>
      <w:r>
        <w:t xml:space="preserve">es prestations sous-traitées </w:t>
      </w:r>
      <w:r w:rsidRPr="00DC0FC1">
        <w:t xml:space="preserve">dépasse </w:t>
      </w:r>
      <w:r w:rsidRPr="00DC0FC1">
        <w:rPr>
          <w:b/>
        </w:rPr>
        <w:t>600 euros TTC</w:t>
      </w:r>
      <w:r w:rsidRPr="00DC0FC1">
        <w:t xml:space="preserve">, pour les </w:t>
      </w:r>
      <w:r w:rsidRPr="00202D67">
        <w:rPr>
          <w:b/>
        </w:rPr>
        <w:t>sous-traitants</w:t>
      </w:r>
      <w:r w:rsidRPr="00DC0FC1">
        <w:t xml:space="preserve"> acceptés </w:t>
      </w:r>
      <w:r w:rsidRPr="00202D67">
        <w:rPr>
          <w:b/>
        </w:rPr>
        <w:t>de 1</w:t>
      </w:r>
      <w:r w:rsidRPr="00202D67">
        <w:rPr>
          <w:b/>
          <w:vertAlign w:val="superscript"/>
        </w:rPr>
        <w:t>er</w:t>
      </w:r>
      <w:r w:rsidRPr="00202D67">
        <w:rPr>
          <w:b/>
        </w:rPr>
        <w:t xml:space="preserve"> rang</w:t>
      </w:r>
      <w:r>
        <w:t xml:space="preserve"> </w:t>
      </w:r>
      <w:r w:rsidRPr="00DC0FC1">
        <w:t>dont les conditions de paiement ont été agréées. Toute renonciation au paiement direct est interdite par la loi de 1975 (article 7</w:t>
      </w:r>
      <w:r>
        <w:t>)</w:t>
      </w:r>
      <w:r w:rsidRPr="00DC0FC1">
        <w:t xml:space="preserve">. </w:t>
      </w:r>
    </w:p>
    <w:p w14:paraId="6FD85AD4" w14:textId="14060A96" w:rsidR="00B2050C" w:rsidRDefault="00DC0FC1" w:rsidP="00793A29">
      <w:pPr>
        <w:spacing w:before="120" w:after="60"/>
        <w:jc w:val="both"/>
      </w:pPr>
      <w:r w:rsidRPr="00DC0FC1">
        <w:t xml:space="preserve">Le circuit de paiement du sous-traitant est </w:t>
      </w:r>
      <w:r>
        <w:t>le suivant :</w:t>
      </w:r>
    </w:p>
    <w:p w14:paraId="08FEC7EA" w14:textId="31B6B477" w:rsidR="000376DF" w:rsidRDefault="00255F4F" w:rsidP="00793A29">
      <w:pPr>
        <w:spacing w:before="40" w:after="120"/>
        <w:jc w:val="center"/>
      </w:pPr>
      <w:r w:rsidRPr="00255F4F">
        <w:rPr>
          <w:noProof/>
          <w:lang w:eastAsia="fr-FR"/>
        </w:rPr>
        <w:drawing>
          <wp:inline distT="0" distB="0" distL="0" distR="0" wp14:anchorId="669D2A16" wp14:editId="2429F4B8">
            <wp:extent cx="4081463" cy="4855454"/>
            <wp:effectExtent l="0" t="0" r="0" b="2540"/>
            <wp:docPr id="64" name="Image 64" descr="C:\Users\schleilat-adc\Desktop\Circuit paiement sous-traita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leilat-adc\Desktop\Circuit paiement sous-traitant.PN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095747" cy="4872447"/>
                    </a:xfrm>
                    <a:prstGeom prst="rect">
                      <a:avLst/>
                    </a:prstGeom>
                    <a:noFill/>
                    <a:ln>
                      <a:noFill/>
                    </a:ln>
                  </pic:spPr>
                </pic:pic>
              </a:graphicData>
            </a:graphic>
          </wp:inline>
        </w:drawing>
      </w:r>
    </w:p>
    <w:p w14:paraId="31B29615" w14:textId="2A39FB4E" w:rsidR="00793A29" w:rsidRDefault="00793A29" w:rsidP="00793A29">
      <w:pPr>
        <w:spacing w:before="120" w:after="120"/>
        <w:jc w:val="both"/>
      </w:pPr>
      <w:r>
        <w:t>Le titulaire dispose d’un délai de 15 jours pour donner son accord ou notifier son refus au sous-traitant qui lui a transmis une demande de paiement (ainsi qu’à l’acheteur)</w:t>
      </w:r>
      <w:r w:rsidR="00515A5B">
        <w:rPr>
          <w:rStyle w:val="Appelnotedebasdep"/>
        </w:rPr>
        <w:footnoteReference w:id="62"/>
      </w:r>
      <w:r>
        <w:t xml:space="preserve">. Le délai de paiement du sous-traitant admis au paiement direct est identique à celui applicable au titulaire. Ce délai court à compter de la réception par l’acheteur de l’accord, total ou partiel, du titulaire sur le paiement demandé, ou à l’expiration du délai de 15 jours si le titulaire n’a notifié ni accord ni refus. </w:t>
      </w:r>
    </w:p>
    <w:p w14:paraId="764698FB" w14:textId="25EEB6A4" w:rsidR="00B82771" w:rsidRDefault="00B2050C" w:rsidP="00515A5B">
      <w:pPr>
        <w:spacing w:before="180" w:after="120"/>
        <w:jc w:val="both"/>
      </w:pPr>
      <w:r w:rsidRPr="00FB4F3E">
        <w:t>Pour aller plus loin, vous pouvez consulter la fiche de la DAJ dédiée</w:t>
      </w:r>
      <w:r>
        <w:t xml:space="preserve"> à </w:t>
      </w:r>
      <w:hyperlink r:id="rId90" w:history="1">
        <w:r w:rsidRPr="00F23CF0">
          <w:rPr>
            <w:rStyle w:val="Lienhypertexte"/>
          </w:rPr>
          <w:t>la sous-traitance</w:t>
        </w:r>
      </w:hyperlink>
      <w:r>
        <w:t xml:space="preserve"> (notamment pour les dispositions spécifiques afférentes aux marchés de défense ou de sécurité). </w:t>
      </w:r>
      <w:r w:rsidR="00B82771">
        <w:br w:type="page"/>
      </w:r>
    </w:p>
    <w:p w14:paraId="204AAE1C" w14:textId="21407B2E" w:rsidR="00CF7AFD" w:rsidRDefault="00CF7AFD" w:rsidP="006E53AD">
      <w:pPr>
        <w:pStyle w:val="Titre1"/>
        <w:spacing w:after="240"/>
      </w:pPr>
      <w:bookmarkStart w:id="54" w:name="_Toc2867200"/>
      <w:bookmarkStart w:id="55" w:name="_Toc7425956"/>
      <w:r>
        <w:lastRenderedPageBreak/>
        <w:t>Remerciements</w:t>
      </w:r>
      <w:bookmarkEnd w:id="54"/>
      <w:bookmarkEnd w:id="55"/>
    </w:p>
    <w:p w14:paraId="4842E316" w14:textId="67F30BAF" w:rsidR="006E53AD" w:rsidRDefault="006E53AD">
      <w:pPr>
        <w:rPr>
          <w:b/>
        </w:rPr>
      </w:pPr>
      <w:r w:rsidRPr="006E53AD">
        <w:rPr>
          <w:b/>
        </w:rPr>
        <w:t>Insérer LOGOS des services/entités participants.</w:t>
      </w:r>
    </w:p>
    <w:p w14:paraId="67A5E23A" w14:textId="77777777" w:rsidR="00EC1907" w:rsidRDefault="00EC1907">
      <w:pPr>
        <w:rPr>
          <w:b/>
        </w:rPr>
      </w:pPr>
    </w:p>
    <w:p w14:paraId="76737D09" w14:textId="77777777" w:rsidR="007E6210" w:rsidRDefault="007E6210">
      <w:pPr>
        <w:rPr>
          <w:b/>
        </w:rPr>
      </w:pPr>
    </w:p>
    <w:p w14:paraId="4790B3A3" w14:textId="77777777" w:rsidR="007E6210" w:rsidRDefault="007E6210">
      <w:pPr>
        <w:rPr>
          <w:b/>
        </w:rPr>
      </w:pPr>
    </w:p>
    <w:p w14:paraId="15484750" w14:textId="77777777" w:rsidR="007E6210" w:rsidRDefault="007E6210">
      <w:pPr>
        <w:rPr>
          <w:b/>
        </w:rPr>
      </w:pPr>
    </w:p>
    <w:p w14:paraId="10E48C66" w14:textId="77777777" w:rsidR="007E6210" w:rsidRPr="006E53AD" w:rsidRDefault="007E6210">
      <w:pPr>
        <w:rPr>
          <w:b/>
        </w:rPr>
      </w:pPr>
    </w:p>
    <w:p w14:paraId="49BB7597" w14:textId="496C1E89" w:rsidR="003A0062" w:rsidRPr="007E6210" w:rsidRDefault="003A0062" w:rsidP="007E6210"/>
    <w:sectPr w:rsidR="003A0062" w:rsidRPr="007E6210" w:rsidSect="00476A7E">
      <w:headerReference w:type="even" r:id="rId91"/>
      <w:headerReference w:type="default" r:id="rId92"/>
      <w:footerReference w:type="even" r:id="rId93"/>
      <w:footerReference w:type="default" r:id="rId94"/>
      <w:headerReference w:type="first" r:id="rId95"/>
      <w:footerReference w:type="first" r:id="rId96"/>
      <w:pgSz w:w="11906" w:h="16838"/>
      <w:pgMar w:top="1417" w:right="1417" w:bottom="1417" w:left="1417" w:header="283" w:footer="708"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3B6DD8" w16cid:durableId="20253832"/>
  <w16cid:commentId w16cid:paraId="5866DCE4" w16cid:durableId="20253833"/>
  <w16cid:commentId w16cid:paraId="6C977F09" w16cid:durableId="20253834"/>
  <w16cid:commentId w16cid:paraId="3D6E9695" w16cid:durableId="20253836"/>
  <w16cid:commentId w16cid:paraId="541A0EE2" w16cid:durableId="2025383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4F7A7" w14:textId="77777777" w:rsidR="0078769E" w:rsidRDefault="0078769E" w:rsidP="00E16338">
      <w:r>
        <w:separator/>
      </w:r>
    </w:p>
  </w:endnote>
  <w:endnote w:type="continuationSeparator" w:id="0">
    <w:p w14:paraId="66284E13" w14:textId="77777777" w:rsidR="0078769E" w:rsidRDefault="0078769E" w:rsidP="00E16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1414765"/>
      <w:docPartObj>
        <w:docPartGallery w:val="Page Numbers (Bottom of Page)"/>
        <w:docPartUnique/>
      </w:docPartObj>
    </w:sdtPr>
    <w:sdtEndPr/>
    <w:sdtContent>
      <w:p w14:paraId="512B3796" w14:textId="77777777" w:rsidR="00ED00DB" w:rsidRDefault="00ED00DB">
        <w:pPr>
          <w:pStyle w:val="Pieddepage"/>
          <w:jc w:val="right"/>
        </w:pPr>
        <w:r>
          <w:fldChar w:fldCharType="begin"/>
        </w:r>
        <w:r>
          <w:instrText>PAGE   \* MERGEFORMAT</w:instrText>
        </w:r>
        <w:r>
          <w:fldChar w:fldCharType="separate"/>
        </w:r>
        <w:r>
          <w:rPr>
            <w:noProof/>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81481"/>
      <w:docPartObj>
        <w:docPartGallery w:val="Page Numbers (Bottom of Page)"/>
        <w:docPartUnique/>
      </w:docPartObj>
    </w:sdtPr>
    <w:sdtEndPr/>
    <w:sdtContent>
      <w:p w14:paraId="03803119" w14:textId="5131E145" w:rsidR="00ED00DB" w:rsidRDefault="00ED00DB">
        <w:pPr>
          <w:pStyle w:val="Pieddepage"/>
        </w:pPr>
        <w:r>
          <w:fldChar w:fldCharType="begin"/>
        </w:r>
        <w:r>
          <w:instrText>PAGE   \* MERGEFORMAT</w:instrText>
        </w:r>
        <w:r>
          <w:fldChar w:fldCharType="separate"/>
        </w:r>
        <w:r w:rsidR="00A260E1">
          <w:rPr>
            <w:noProof/>
          </w:rPr>
          <w:t>16</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5757731"/>
      <w:docPartObj>
        <w:docPartGallery w:val="Page Numbers (Bottom of Page)"/>
        <w:docPartUnique/>
      </w:docPartObj>
    </w:sdtPr>
    <w:sdtEndPr/>
    <w:sdtContent>
      <w:p w14:paraId="14300F63" w14:textId="77777777" w:rsidR="00ED00DB" w:rsidRDefault="00ED00DB">
        <w:pPr>
          <w:pStyle w:val="Pieddepage"/>
          <w:jc w:val="right"/>
        </w:pPr>
        <w:r>
          <w:fldChar w:fldCharType="begin"/>
        </w:r>
        <w:r>
          <w:instrText>PAGE   \* MERGEFORMAT</w:instrText>
        </w:r>
        <w:r>
          <w:fldChar w:fldCharType="separate"/>
        </w:r>
        <w:r w:rsidR="00A260E1">
          <w:rPr>
            <w:noProof/>
          </w:rPr>
          <w:t>17</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930568"/>
      <w:docPartObj>
        <w:docPartGallery w:val="Page Numbers (Bottom of Page)"/>
        <w:docPartUnique/>
      </w:docPartObj>
    </w:sdtPr>
    <w:sdtEndPr/>
    <w:sdtContent>
      <w:p w14:paraId="19024AA4" w14:textId="0D940198" w:rsidR="00ED00DB" w:rsidRDefault="00ED00DB">
        <w:pPr>
          <w:pStyle w:val="Pieddepage"/>
          <w:jc w:val="right"/>
        </w:pPr>
        <w:r>
          <w:fldChar w:fldCharType="begin"/>
        </w:r>
        <w:r>
          <w:instrText>PAGE   \* MERGEFORMAT</w:instrText>
        </w:r>
        <w:r>
          <w:fldChar w:fldCharType="separate"/>
        </w:r>
        <w:r>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ABA03" w14:textId="77777777" w:rsidR="0078769E" w:rsidRDefault="0078769E" w:rsidP="009A0799">
      <w:pPr>
        <w:spacing w:after="120"/>
      </w:pPr>
      <w:r>
        <w:separator/>
      </w:r>
    </w:p>
  </w:footnote>
  <w:footnote w:type="continuationSeparator" w:id="0">
    <w:p w14:paraId="2C0C2B72" w14:textId="77777777" w:rsidR="0078769E" w:rsidRDefault="0078769E" w:rsidP="00E16338">
      <w:r>
        <w:continuationSeparator/>
      </w:r>
    </w:p>
  </w:footnote>
  <w:footnote w:id="1">
    <w:p w14:paraId="034FE603" w14:textId="7B9E9EF6" w:rsidR="00ED00DB" w:rsidRDefault="00ED00DB" w:rsidP="00C15555">
      <w:pPr>
        <w:pStyle w:val="Notedebasdepage"/>
        <w:spacing w:before="0" w:after="0" w:line="240" w:lineRule="auto"/>
        <w:jc w:val="both"/>
      </w:pPr>
      <w:r>
        <w:rPr>
          <w:rStyle w:val="Appelnotedebasdep"/>
        </w:rPr>
        <w:footnoteRef/>
      </w:r>
      <w:r>
        <w:t xml:space="preserve"> </w:t>
      </w:r>
      <w:hyperlink r:id="rId1" w:history="1">
        <w:r w:rsidRPr="00C15555">
          <w:rPr>
            <w:rStyle w:val="Lienhypertexte"/>
            <w:sz w:val="18"/>
          </w:rPr>
          <w:t>Décret du 24 décembre 2018 portant diverses mesures relatives aux contrats de la commande publique</w:t>
        </w:r>
      </w:hyperlink>
      <w:r>
        <w:rPr>
          <w:sz w:val="18"/>
        </w:rPr>
        <w:t>.</w:t>
      </w:r>
    </w:p>
  </w:footnote>
  <w:footnote w:id="2">
    <w:p w14:paraId="741FED4D" w14:textId="4F3707EF" w:rsidR="00ED00DB" w:rsidRPr="009A0799" w:rsidRDefault="00ED00DB" w:rsidP="00AD422C">
      <w:pPr>
        <w:pStyle w:val="Notedebasdepage"/>
        <w:spacing w:before="0" w:after="0" w:line="240" w:lineRule="auto"/>
        <w:jc w:val="both"/>
        <w:rPr>
          <w:sz w:val="18"/>
        </w:rPr>
      </w:pPr>
      <w:r w:rsidRPr="009A0799">
        <w:rPr>
          <w:rStyle w:val="Appelnotedebasdep"/>
          <w:sz w:val="18"/>
        </w:rPr>
        <w:footnoteRef/>
      </w:r>
      <w:r w:rsidRPr="009A0799">
        <w:rPr>
          <w:sz w:val="18"/>
        </w:rPr>
        <w:t xml:space="preserve"> </w:t>
      </w:r>
      <w:r w:rsidRPr="001A0B88">
        <w:rPr>
          <w:sz w:val="17"/>
          <w:szCs w:val="17"/>
        </w:rPr>
        <w:t xml:space="preserve">La loi n° 2016-483 du 20 avril 2016 relative à la déontologie et aux droits et obligations des fonctionnaires a intégré dans le statut général la notion de conflits d’intérêts qui désigne « </w:t>
      </w:r>
      <w:r w:rsidRPr="001A0B88">
        <w:rPr>
          <w:i/>
          <w:sz w:val="17"/>
          <w:szCs w:val="17"/>
        </w:rPr>
        <w:t xml:space="preserve">toute situation d'interférence entre un intérêt public et des intérêts publics ou privés qui est de nature à influencer ou paraître influencer l'exercice indépendant, impartial et objectif des fonctions </w:t>
      </w:r>
      <w:r w:rsidRPr="001A0B88">
        <w:rPr>
          <w:sz w:val="17"/>
          <w:szCs w:val="17"/>
        </w:rPr>
        <w:t>».</w:t>
      </w:r>
    </w:p>
  </w:footnote>
  <w:footnote w:id="3">
    <w:p w14:paraId="32966AA0" w14:textId="65CE64B6" w:rsidR="00ED00DB" w:rsidRPr="009A0799" w:rsidRDefault="00ED00DB" w:rsidP="001A0B88">
      <w:pPr>
        <w:pStyle w:val="Notedebasdepage"/>
        <w:spacing w:before="0" w:after="0" w:line="240" w:lineRule="auto"/>
        <w:jc w:val="both"/>
        <w:rPr>
          <w:sz w:val="18"/>
        </w:rPr>
      </w:pPr>
      <w:r w:rsidRPr="009A0799">
        <w:rPr>
          <w:rStyle w:val="Appelnotedebasdep"/>
          <w:sz w:val="18"/>
        </w:rPr>
        <w:footnoteRef/>
      </w:r>
      <w:r w:rsidRPr="009A0799">
        <w:rPr>
          <w:sz w:val="18"/>
        </w:rPr>
        <w:t xml:space="preserve"> Article R 2111-6</w:t>
      </w:r>
      <w:r>
        <w:rPr>
          <w:sz w:val="18"/>
        </w:rPr>
        <w:t xml:space="preserve"> </w:t>
      </w:r>
      <w:r w:rsidRPr="009A0799">
        <w:rPr>
          <w:sz w:val="18"/>
        </w:rPr>
        <w:t>du CCP : « </w:t>
      </w:r>
      <w:r w:rsidRPr="009A0799">
        <w:rPr>
          <w:i/>
          <w:sz w:val="18"/>
        </w:rPr>
        <w:t>Sauf cas dûment justifié, les spécifications techniques sont établies de manière à prendre en compte des critères d'accessibilité pour les personnes handicapées ou des critères de fonctionnalité pour tous les utilisateurs </w:t>
      </w:r>
      <w:r w:rsidRPr="009A0799">
        <w:rPr>
          <w:sz w:val="18"/>
        </w:rPr>
        <w:t>».</w:t>
      </w:r>
    </w:p>
  </w:footnote>
  <w:footnote w:id="4">
    <w:p w14:paraId="39B30CB2" w14:textId="43862BAD" w:rsidR="00ED00DB" w:rsidRDefault="00ED00DB" w:rsidP="000B5559">
      <w:pPr>
        <w:pStyle w:val="Notedebasdepage"/>
        <w:spacing w:before="0" w:after="0" w:line="240" w:lineRule="auto"/>
        <w:jc w:val="both"/>
      </w:pPr>
      <w:r>
        <w:rPr>
          <w:rStyle w:val="Appelnotedebasdep"/>
        </w:rPr>
        <w:footnoteRef/>
      </w:r>
      <w:r>
        <w:t xml:space="preserve"> </w:t>
      </w:r>
      <w:r w:rsidRPr="006B4BF2">
        <w:rPr>
          <w:sz w:val="18"/>
        </w:rPr>
        <w:t xml:space="preserve">Les labels s’entendent comme tout document, certificat ou attestation confirmant que </w:t>
      </w:r>
      <w:r>
        <w:rPr>
          <w:sz w:val="18"/>
        </w:rPr>
        <w:t xml:space="preserve">les ouvrages, les produits, les </w:t>
      </w:r>
      <w:r w:rsidRPr="006B4BF2">
        <w:rPr>
          <w:sz w:val="18"/>
        </w:rPr>
        <w:t>services, les procédés ou les procédures concernés par la délivrance de ce label remplissent certaines exigences.</w:t>
      </w:r>
    </w:p>
  </w:footnote>
  <w:footnote w:id="5">
    <w:p w14:paraId="0DF60E86" w14:textId="77777777" w:rsidR="00ED00DB" w:rsidRPr="009A0799" w:rsidRDefault="00ED00DB" w:rsidP="005E61ED">
      <w:pPr>
        <w:pStyle w:val="Notedebasdepage"/>
        <w:spacing w:before="0" w:after="0" w:line="240" w:lineRule="auto"/>
        <w:jc w:val="both"/>
        <w:rPr>
          <w:sz w:val="18"/>
        </w:rPr>
      </w:pPr>
      <w:r w:rsidRPr="009A0799">
        <w:rPr>
          <w:rStyle w:val="Appelnotedebasdep"/>
          <w:sz w:val="18"/>
        </w:rPr>
        <w:footnoteRef/>
      </w:r>
      <w:r w:rsidRPr="009A0799">
        <w:rPr>
          <w:sz w:val="18"/>
        </w:rPr>
        <w:t xml:space="preserve"> </w:t>
      </w:r>
      <w:r w:rsidRPr="004D1043">
        <w:rPr>
          <w:sz w:val="18"/>
        </w:rPr>
        <w:t>Certes, dans toutes les procédures, l’acheteur peut autoriser les soumissionnaires à régulariser leurs offres irrégulières dans un délai approprié, à condition qu’elles ne soient pas anormalement basses. Pour autant, il s’agit d’une perte de temps et de moyens, qu’il est possible d’éviter lorsque l’attention des candidats est attirée sur les contraintes à respecter.</w:t>
      </w:r>
    </w:p>
  </w:footnote>
  <w:footnote w:id="6">
    <w:p w14:paraId="7A7A5457" w14:textId="77777777" w:rsidR="00ED00DB" w:rsidRPr="007F6DF7" w:rsidRDefault="00ED00DB" w:rsidP="00AD2200">
      <w:pPr>
        <w:pStyle w:val="Notedebasdepage"/>
        <w:spacing w:before="0" w:after="0" w:line="240" w:lineRule="auto"/>
        <w:jc w:val="both"/>
        <w:rPr>
          <w:sz w:val="18"/>
        </w:rPr>
      </w:pPr>
      <w:r w:rsidRPr="007F6DF7">
        <w:rPr>
          <w:rStyle w:val="Appelnotedebasdep"/>
          <w:sz w:val="18"/>
        </w:rPr>
        <w:footnoteRef/>
      </w:r>
      <w:r w:rsidRPr="007F6DF7">
        <w:rPr>
          <w:sz w:val="18"/>
        </w:rPr>
        <w:t xml:space="preserve"> CE,</w:t>
      </w:r>
      <w:r>
        <w:rPr>
          <w:sz w:val="18"/>
        </w:rPr>
        <w:t xml:space="preserve"> </w:t>
      </w:r>
      <w:r w:rsidRPr="007F6DF7">
        <w:rPr>
          <w:sz w:val="18"/>
        </w:rPr>
        <w:t>n° 333737</w:t>
      </w:r>
      <w:r>
        <w:rPr>
          <w:sz w:val="18"/>
        </w:rPr>
        <w:t>, 21 mai 2010, Commune d’Ajaccio</w:t>
      </w:r>
      <w:r w:rsidRPr="007F6DF7">
        <w:rPr>
          <w:sz w:val="18"/>
        </w:rPr>
        <w:t>.</w:t>
      </w:r>
    </w:p>
  </w:footnote>
  <w:footnote w:id="7">
    <w:p w14:paraId="539C2C32" w14:textId="5D1C5B39" w:rsidR="00ED00DB" w:rsidRDefault="00ED00DB" w:rsidP="00AD2200">
      <w:pPr>
        <w:pStyle w:val="Notedebasdepage"/>
        <w:spacing w:before="0" w:after="0" w:line="240" w:lineRule="auto"/>
        <w:jc w:val="both"/>
      </w:pPr>
      <w:r>
        <w:rPr>
          <w:rStyle w:val="Appelnotedebasdep"/>
        </w:rPr>
        <w:footnoteRef/>
      </w:r>
      <w:r>
        <w:t xml:space="preserve"> </w:t>
      </w:r>
      <w:r w:rsidRPr="00BD77E2">
        <w:rPr>
          <w:sz w:val="18"/>
        </w:rPr>
        <w:t>A condition toutefois que l’acheteur ait précisé les règles applicables lorsque la mise en œuvre des critères d’attribution conduirait à attribuer à un même soumissionnaire un nombre de lots supérieur au nombre maximal.</w:t>
      </w:r>
    </w:p>
  </w:footnote>
  <w:footnote w:id="8">
    <w:p w14:paraId="37DC705E" w14:textId="77777777" w:rsidR="00ED00DB" w:rsidRDefault="00ED00DB" w:rsidP="0059600A">
      <w:pPr>
        <w:pStyle w:val="Notedebasdepage"/>
        <w:spacing w:before="0" w:after="0" w:line="240" w:lineRule="auto"/>
      </w:pPr>
      <w:r>
        <w:rPr>
          <w:rStyle w:val="Appelnotedebasdep"/>
        </w:rPr>
        <w:footnoteRef/>
      </w:r>
      <w:r>
        <w:t xml:space="preserve"> </w:t>
      </w:r>
      <w:r w:rsidRPr="006B73A5">
        <w:rPr>
          <w:sz w:val="18"/>
        </w:rPr>
        <w:t>Article R</w:t>
      </w:r>
      <w:r>
        <w:rPr>
          <w:sz w:val="18"/>
        </w:rPr>
        <w:t xml:space="preserve">. </w:t>
      </w:r>
      <w:r w:rsidRPr="006B73A5">
        <w:rPr>
          <w:sz w:val="18"/>
        </w:rPr>
        <w:t>2123-1</w:t>
      </w:r>
      <w:r>
        <w:rPr>
          <w:sz w:val="18"/>
        </w:rPr>
        <w:t xml:space="preserve"> du CCP. </w:t>
      </w:r>
    </w:p>
  </w:footnote>
  <w:footnote w:id="9">
    <w:p w14:paraId="4925FD9E" w14:textId="1C560C44" w:rsidR="00ED00DB" w:rsidRDefault="00ED00DB" w:rsidP="0059600A">
      <w:pPr>
        <w:pStyle w:val="Notedebasdepage"/>
        <w:spacing w:before="0" w:after="0" w:line="240" w:lineRule="auto"/>
      </w:pPr>
      <w:r>
        <w:rPr>
          <w:rStyle w:val="Appelnotedebasdep"/>
        </w:rPr>
        <w:footnoteRef/>
      </w:r>
      <w:r>
        <w:t xml:space="preserve"> </w:t>
      </w:r>
      <w:r w:rsidRPr="00EC2457">
        <w:rPr>
          <w:sz w:val="18"/>
        </w:rPr>
        <w:t>CAA Lyon, n° 10LY01121, 6 octobre 2011, Syndicat national des entreprises du second œuvre (SNSO).</w:t>
      </w:r>
    </w:p>
  </w:footnote>
  <w:footnote w:id="10">
    <w:p w14:paraId="2559071B" w14:textId="58FDC736" w:rsidR="00ED00DB" w:rsidRDefault="00ED00DB" w:rsidP="0059600A">
      <w:pPr>
        <w:pStyle w:val="Notedebasdepage"/>
        <w:spacing w:before="0" w:after="0" w:line="240" w:lineRule="auto"/>
      </w:pPr>
      <w:r>
        <w:rPr>
          <w:rStyle w:val="Appelnotedebasdep"/>
        </w:rPr>
        <w:footnoteRef/>
      </w:r>
      <w:r>
        <w:t xml:space="preserve"> </w:t>
      </w:r>
      <w:r w:rsidRPr="00EC56E8">
        <w:rPr>
          <w:sz w:val="18"/>
        </w:rPr>
        <w:t xml:space="preserve">Cour administrative d'appel de Bordeaux, n° 12BX00319, 1er octobre 2013. </w:t>
      </w:r>
    </w:p>
  </w:footnote>
  <w:footnote w:id="11">
    <w:p w14:paraId="6D61D6BE" w14:textId="24CDE6F2" w:rsidR="00ED00DB" w:rsidRDefault="00ED00DB" w:rsidP="0059600A">
      <w:pPr>
        <w:pStyle w:val="Notedebasdepage"/>
        <w:spacing w:before="0" w:after="0" w:line="240" w:lineRule="auto"/>
      </w:pPr>
      <w:r>
        <w:rPr>
          <w:rStyle w:val="Appelnotedebasdep"/>
        </w:rPr>
        <w:footnoteRef/>
      </w:r>
      <w:r>
        <w:t xml:space="preserve"> </w:t>
      </w:r>
      <w:r w:rsidRPr="00DB4C5C">
        <w:rPr>
          <w:sz w:val="18"/>
        </w:rPr>
        <w:t>CE, n° 389682</w:t>
      </w:r>
      <w:r>
        <w:rPr>
          <w:sz w:val="18"/>
        </w:rPr>
        <w:t>,</w:t>
      </w:r>
      <w:r w:rsidRPr="00DB4C5C">
        <w:rPr>
          <w:sz w:val="18"/>
        </w:rPr>
        <w:t xml:space="preserve"> 26 juin 2015, Ville de Paris</w:t>
      </w:r>
      <w:r>
        <w:rPr>
          <w:sz w:val="18"/>
        </w:rPr>
        <w:t xml:space="preserve"> </w:t>
      </w:r>
      <w:r w:rsidRPr="00DB4C5C">
        <w:rPr>
          <w:sz w:val="18"/>
        </w:rPr>
        <w:t>; CE, n° 350935</w:t>
      </w:r>
      <w:r>
        <w:rPr>
          <w:sz w:val="18"/>
        </w:rPr>
        <w:t xml:space="preserve">, </w:t>
      </w:r>
      <w:r w:rsidRPr="00DB4C5C">
        <w:rPr>
          <w:sz w:val="18"/>
        </w:rPr>
        <w:t>27 oct</w:t>
      </w:r>
      <w:r>
        <w:rPr>
          <w:sz w:val="18"/>
        </w:rPr>
        <w:t>.</w:t>
      </w:r>
      <w:r w:rsidRPr="00DB4C5C">
        <w:rPr>
          <w:sz w:val="18"/>
        </w:rPr>
        <w:t>2011, Dé</w:t>
      </w:r>
      <w:r>
        <w:rPr>
          <w:sz w:val="18"/>
        </w:rPr>
        <w:t>partement des Bouches-du- Rhône</w:t>
      </w:r>
      <w:r w:rsidRPr="00DB4C5C">
        <w:rPr>
          <w:sz w:val="18"/>
        </w:rPr>
        <w:t>.</w:t>
      </w:r>
    </w:p>
  </w:footnote>
  <w:footnote w:id="12">
    <w:p w14:paraId="60511917" w14:textId="77777777" w:rsidR="00ED00DB" w:rsidRPr="009A0799" w:rsidRDefault="00ED00DB" w:rsidP="00D540D8">
      <w:pPr>
        <w:pStyle w:val="Notedebasdepage"/>
        <w:spacing w:before="0" w:after="0" w:line="240" w:lineRule="auto"/>
        <w:jc w:val="both"/>
        <w:rPr>
          <w:sz w:val="18"/>
        </w:rPr>
      </w:pPr>
      <w:r w:rsidRPr="009A0799">
        <w:rPr>
          <w:rStyle w:val="Appelnotedebasdep"/>
          <w:sz w:val="18"/>
        </w:rPr>
        <w:footnoteRef/>
      </w:r>
      <w:r w:rsidRPr="009A0799">
        <w:rPr>
          <w:rStyle w:val="Appelnotedebasdep"/>
          <w:sz w:val="18"/>
        </w:rPr>
        <w:t xml:space="preserve"> </w:t>
      </w:r>
      <w:r w:rsidRPr="009A0799">
        <w:rPr>
          <w:sz w:val="18"/>
        </w:rPr>
        <w:t>Titre VI, chapitre 1</w:t>
      </w:r>
      <w:r w:rsidRPr="009A0799">
        <w:rPr>
          <w:sz w:val="18"/>
          <w:vertAlign w:val="superscript"/>
        </w:rPr>
        <w:t>er</w:t>
      </w:r>
      <w:r w:rsidRPr="009A0799">
        <w:rPr>
          <w:sz w:val="18"/>
        </w:rPr>
        <w:t xml:space="preserve"> du CCP.</w:t>
      </w:r>
    </w:p>
  </w:footnote>
  <w:footnote w:id="13">
    <w:p w14:paraId="0C6BEEA6" w14:textId="77777777" w:rsidR="00ED00DB" w:rsidRPr="009A0799" w:rsidRDefault="00ED00DB" w:rsidP="002429F6">
      <w:pPr>
        <w:pStyle w:val="Notedebasdepage"/>
        <w:spacing w:before="0" w:after="0" w:line="240" w:lineRule="auto"/>
        <w:rPr>
          <w:sz w:val="18"/>
        </w:rPr>
      </w:pPr>
      <w:r w:rsidRPr="00FA3C1F">
        <w:rPr>
          <w:rStyle w:val="Appelnotedebasdep"/>
          <w:sz w:val="18"/>
        </w:rPr>
        <w:footnoteRef/>
      </w:r>
      <w:r w:rsidRPr="00FA3C1F">
        <w:rPr>
          <w:sz w:val="18"/>
        </w:rPr>
        <w:t xml:space="preserve"> CE, 11 juillet 2018, n° 418021, Communauté d'agglomération du Nord Grande-Terre.</w:t>
      </w:r>
    </w:p>
  </w:footnote>
  <w:footnote w:id="14">
    <w:p w14:paraId="050063B4" w14:textId="492267A4" w:rsidR="00ED00DB" w:rsidRDefault="00ED00DB" w:rsidP="00D540D8">
      <w:pPr>
        <w:pStyle w:val="Notedebasdepage"/>
        <w:spacing w:before="0" w:after="0" w:line="240" w:lineRule="auto"/>
      </w:pPr>
      <w:r>
        <w:rPr>
          <w:rStyle w:val="Appelnotedebasdep"/>
        </w:rPr>
        <w:footnoteRef/>
      </w:r>
      <w:r>
        <w:t xml:space="preserve"> </w:t>
      </w:r>
      <w:r w:rsidRPr="00BD3338">
        <w:rPr>
          <w:sz w:val="18"/>
        </w:rPr>
        <w:t xml:space="preserve">Article R. 2161-4 du CCP (hors marchés publics de défense ou de sécurité). </w:t>
      </w:r>
    </w:p>
  </w:footnote>
  <w:footnote w:id="15">
    <w:p w14:paraId="687083B6" w14:textId="48EF2AD6" w:rsidR="00ED00DB" w:rsidRPr="00BD3338" w:rsidRDefault="00ED00DB" w:rsidP="00BD3338">
      <w:pPr>
        <w:pStyle w:val="Default"/>
        <w:spacing w:before="0"/>
        <w:rPr>
          <w:rFonts w:ascii="Garamond" w:eastAsiaTheme="minorEastAsia" w:hAnsi="Garamond" w:cs="Garamond"/>
          <w:sz w:val="22"/>
        </w:rPr>
      </w:pPr>
      <w:r w:rsidRPr="00BD3338">
        <w:rPr>
          <w:rFonts w:asciiTheme="minorHAnsi" w:eastAsiaTheme="minorEastAsia" w:hAnsiTheme="minorHAnsi" w:cstheme="minorBidi"/>
          <w:color w:val="auto"/>
          <w:sz w:val="20"/>
          <w:szCs w:val="20"/>
          <w:vertAlign w:val="superscript"/>
        </w:rPr>
        <w:footnoteRef/>
      </w:r>
      <w:r w:rsidRPr="00BD3338">
        <w:rPr>
          <w:rFonts w:asciiTheme="minorHAnsi" w:eastAsiaTheme="minorEastAsia" w:hAnsiTheme="minorHAnsi" w:cstheme="minorBidi"/>
          <w:color w:val="auto"/>
          <w:sz w:val="20"/>
          <w:szCs w:val="20"/>
        </w:rPr>
        <w:t xml:space="preserve"> </w:t>
      </w:r>
      <w:r w:rsidRPr="00BD3338">
        <w:rPr>
          <w:rFonts w:asciiTheme="minorHAnsi" w:eastAsiaTheme="minorEastAsia" w:hAnsiTheme="minorHAnsi" w:cstheme="minorBidi"/>
          <w:color w:val="auto"/>
          <w:sz w:val="18"/>
          <w:szCs w:val="20"/>
        </w:rPr>
        <w:t>Sauf dans l’hypothèse où une copie de sauvegarde a été reçue dans les délais.</w:t>
      </w:r>
      <w:r w:rsidRPr="00BD3338">
        <w:rPr>
          <w:rFonts w:ascii="Garamond" w:hAnsi="Garamond" w:cs="Garamond"/>
          <w:sz w:val="14"/>
          <w:szCs w:val="16"/>
        </w:rPr>
        <w:t xml:space="preserve"> </w:t>
      </w:r>
      <w:r w:rsidRPr="00BD3338">
        <w:rPr>
          <w:rFonts w:ascii="Garamond" w:hAnsi="Garamond" w:cs="Garamond"/>
          <w:sz w:val="22"/>
        </w:rPr>
        <w:t xml:space="preserve"> </w:t>
      </w:r>
    </w:p>
  </w:footnote>
  <w:footnote w:id="16">
    <w:p w14:paraId="327C7593" w14:textId="0300A9E2" w:rsidR="00ED00DB" w:rsidRDefault="00ED00DB" w:rsidP="005F3E32">
      <w:pPr>
        <w:pStyle w:val="Notedebasdepage"/>
        <w:spacing w:before="0" w:after="0" w:line="240" w:lineRule="auto"/>
        <w:jc w:val="both"/>
      </w:pPr>
      <w:r>
        <w:rPr>
          <w:rStyle w:val="Appelnotedebasdep"/>
        </w:rPr>
        <w:footnoteRef/>
      </w:r>
      <w:r>
        <w:t xml:space="preserve"> </w:t>
      </w:r>
      <w:r w:rsidRPr="005F3E32">
        <w:rPr>
          <w:sz w:val="18"/>
        </w:rPr>
        <w:t>En revanche, la méthode de notation des critères n’a pas nécessairement à être communiquée dans les documents de la consultation, que ce soit une procédure formalisée ou une procédure adaptée.</w:t>
      </w:r>
    </w:p>
  </w:footnote>
  <w:footnote w:id="17">
    <w:p w14:paraId="41F65836" w14:textId="5C73AE7B" w:rsidR="00ED00DB" w:rsidRDefault="00ED00DB" w:rsidP="005F3E32">
      <w:pPr>
        <w:pStyle w:val="Notedebasdepage"/>
        <w:spacing w:before="0" w:after="0" w:line="240" w:lineRule="auto"/>
        <w:jc w:val="both"/>
      </w:pPr>
      <w:r>
        <w:rPr>
          <w:rStyle w:val="Appelnotedebasdep"/>
        </w:rPr>
        <w:footnoteRef/>
      </w:r>
      <w:r>
        <w:t xml:space="preserve"> </w:t>
      </w:r>
      <w:r w:rsidRPr="009C771F">
        <w:rPr>
          <w:sz w:val="18"/>
        </w:rPr>
        <w:t xml:space="preserve">Il est </w:t>
      </w:r>
      <w:r>
        <w:rPr>
          <w:sz w:val="18"/>
        </w:rPr>
        <w:t xml:space="preserve">particulièrement déconseillé </w:t>
      </w:r>
      <w:r w:rsidRPr="009C771F">
        <w:rPr>
          <w:sz w:val="18"/>
        </w:rPr>
        <w:t xml:space="preserve">de se limiter au critère du prix pour l’attribution de prestations présentant un certain caractère de complexité ou de technicité, </w:t>
      </w:r>
      <w:r>
        <w:rPr>
          <w:sz w:val="18"/>
        </w:rPr>
        <w:t xml:space="preserve">pour les </w:t>
      </w:r>
      <w:r w:rsidRPr="009C771F">
        <w:rPr>
          <w:sz w:val="18"/>
        </w:rPr>
        <w:t>travaux notamment.</w:t>
      </w:r>
      <w:r>
        <w:rPr>
          <w:sz w:val="18"/>
        </w:rPr>
        <w:t xml:space="preserve"> La jurisprudence a en effet déjà eu l’occasion de sanctionner une telle pratique (</w:t>
      </w:r>
      <w:r w:rsidRPr="00BA6EE6">
        <w:rPr>
          <w:sz w:val="18"/>
        </w:rPr>
        <w:t>CE 6 avril 2007, Département de l’Isère, req. n°298584</w:t>
      </w:r>
      <w:r>
        <w:rPr>
          <w:sz w:val="18"/>
        </w:rPr>
        <w:t xml:space="preserve">). </w:t>
      </w:r>
    </w:p>
  </w:footnote>
  <w:footnote w:id="18">
    <w:p w14:paraId="4DD10D28" w14:textId="77777777" w:rsidR="00ED00DB" w:rsidRPr="005F4AD4" w:rsidRDefault="00ED00DB" w:rsidP="00481725">
      <w:pPr>
        <w:pStyle w:val="Notedebasdepage"/>
        <w:spacing w:before="0" w:after="0" w:line="240" w:lineRule="auto"/>
        <w:jc w:val="both"/>
        <w:rPr>
          <w:szCs w:val="22"/>
        </w:rPr>
      </w:pPr>
      <w:r w:rsidRPr="009A0799">
        <w:rPr>
          <w:rStyle w:val="Appelnotedebasdep"/>
          <w:sz w:val="18"/>
        </w:rPr>
        <w:footnoteRef/>
      </w:r>
      <w:r w:rsidRPr="009A0799">
        <w:rPr>
          <w:sz w:val="18"/>
        </w:rPr>
        <w:t xml:space="preserve">Pour plus d’informations sur la prise en compte du coût du cycle de vie dans une consultation : </w:t>
      </w:r>
      <w:hyperlink r:id="rId2" w:history="1">
        <w:r w:rsidRPr="009A0799">
          <w:rPr>
            <w:rStyle w:val="Lienhypertexte"/>
            <w:sz w:val="18"/>
          </w:rPr>
          <w:t>https://www.economie.gouv.fr/daj/cout-cycle-vie-consultation</w:t>
        </w:r>
      </w:hyperlink>
      <w:r w:rsidRPr="009A0799">
        <w:rPr>
          <w:sz w:val="18"/>
        </w:rPr>
        <w:t>.</w:t>
      </w:r>
    </w:p>
  </w:footnote>
  <w:footnote w:id="19">
    <w:p w14:paraId="5104F1A3" w14:textId="6BD1099F" w:rsidR="00ED00DB" w:rsidRPr="00F03FA5" w:rsidRDefault="00ED00DB" w:rsidP="00833B57">
      <w:pPr>
        <w:pStyle w:val="Notedebasdepage"/>
        <w:spacing w:before="0" w:after="0" w:line="240" w:lineRule="auto"/>
        <w:jc w:val="both"/>
      </w:pPr>
      <w:r>
        <w:rPr>
          <w:rStyle w:val="Appelnotedebasdep"/>
        </w:rPr>
        <w:footnoteRef/>
      </w:r>
      <w:r>
        <w:t xml:space="preserve"> </w:t>
      </w:r>
      <w:r>
        <w:rPr>
          <w:sz w:val="18"/>
        </w:rPr>
        <w:t xml:space="preserve">CE, 25 mai 2018, Nantes métropole, </w:t>
      </w:r>
      <w:r w:rsidRPr="00F03FA5">
        <w:rPr>
          <w:bCs/>
          <w:sz w:val="18"/>
        </w:rPr>
        <w:t>n° 417580</w:t>
      </w:r>
      <w:r>
        <w:rPr>
          <w:sz w:val="18"/>
        </w:rPr>
        <w:t xml:space="preserve"> : un </w:t>
      </w:r>
      <w:r w:rsidRPr="00833B57">
        <w:rPr>
          <w:sz w:val="18"/>
        </w:rPr>
        <w:t>critère de sélection pondéré à hauteur de 15 % de la note totale</w:t>
      </w:r>
      <w:r>
        <w:rPr>
          <w:sz w:val="18"/>
        </w:rPr>
        <w:t xml:space="preserve"> et ayant </w:t>
      </w:r>
      <w:r w:rsidRPr="00833B57">
        <w:rPr>
          <w:sz w:val="18"/>
        </w:rPr>
        <w:t>pour objectif d'évaluer l</w:t>
      </w:r>
      <w:r>
        <w:rPr>
          <w:sz w:val="18"/>
        </w:rPr>
        <w:t>a</w:t>
      </w:r>
      <w:r w:rsidRPr="00833B57">
        <w:rPr>
          <w:sz w:val="18"/>
        </w:rPr>
        <w:t xml:space="preserve"> politique générale </w:t>
      </w:r>
      <w:r>
        <w:rPr>
          <w:sz w:val="18"/>
        </w:rPr>
        <w:t xml:space="preserve">des candidats </w:t>
      </w:r>
      <w:r w:rsidRPr="00833B57">
        <w:rPr>
          <w:sz w:val="18"/>
        </w:rPr>
        <w:t>en matière sociale est sanctionné</w:t>
      </w:r>
      <w:r>
        <w:rPr>
          <w:sz w:val="18"/>
        </w:rPr>
        <w:t xml:space="preserve"> par le juge administratif</w:t>
      </w:r>
      <w:r w:rsidRPr="00833B57">
        <w:rPr>
          <w:sz w:val="18"/>
        </w:rPr>
        <w:t>.</w:t>
      </w:r>
      <w:r>
        <w:t xml:space="preserve"> </w:t>
      </w:r>
    </w:p>
  </w:footnote>
  <w:footnote w:id="20">
    <w:p w14:paraId="6F1E3BAB" w14:textId="3F67A1C0" w:rsidR="00627A63" w:rsidRDefault="00627A63" w:rsidP="00A83CF7">
      <w:pPr>
        <w:pStyle w:val="Notedebasdepage"/>
        <w:spacing w:before="0" w:after="0" w:line="240" w:lineRule="auto"/>
        <w:jc w:val="both"/>
      </w:pPr>
      <w:r>
        <w:rPr>
          <w:rStyle w:val="Appelnotedebasdep"/>
        </w:rPr>
        <w:footnoteRef/>
      </w:r>
      <w:r>
        <w:t xml:space="preserve"> </w:t>
      </w:r>
      <w:r w:rsidRPr="00A83CF7">
        <w:rPr>
          <w:sz w:val="18"/>
        </w:rPr>
        <w:t>Pour plus d’informations sur ce point, consulter </w:t>
      </w:r>
      <w:r w:rsidR="00A83CF7" w:rsidRPr="00A83CF7">
        <w:rPr>
          <w:sz w:val="18"/>
        </w:rPr>
        <w:t>le guide « </w:t>
      </w:r>
      <w:hyperlink r:id="rId3" w:history="1">
        <w:r w:rsidR="00A83CF7" w:rsidRPr="00A83CF7">
          <w:rPr>
            <w:rStyle w:val="Lienhypertexte"/>
            <w:sz w:val="18"/>
          </w:rPr>
          <w:t>L’achat public : une réponse aux enjeux climatiques</w:t>
        </w:r>
        <w:r w:rsidR="00A83CF7" w:rsidRPr="00A83CF7">
          <w:rPr>
            <w:rStyle w:val="Lienhypertexte"/>
            <w:sz w:val="18"/>
            <w:u w:val="none"/>
          </w:rPr>
          <w:t> </w:t>
        </w:r>
      </w:hyperlink>
      <w:r w:rsidR="00A83CF7" w:rsidRPr="00A83CF7">
        <w:rPr>
          <w:sz w:val="18"/>
        </w:rPr>
        <w:t>»</w:t>
      </w:r>
      <w:r w:rsidR="00A260E1">
        <w:rPr>
          <w:sz w:val="18"/>
        </w:rPr>
        <w:t xml:space="preserve">. </w:t>
      </w:r>
      <w:bookmarkStart w:id="21" w:name="_GoBack"/>
      <w:bookmarkEnd w:id="21"/>
    </w:p>
  </w:footnote>
  <w:footnote w:id="21">
    <w:p w14:paraId="48125845" w14:textId="5F8B1E47" w:rsidR="00ED00DB" w:rsidRDefault="00ED00DB" w:rsidP="00583DB5">
      <w:pPr>
        <w:pStyle w:val="Notedebasdepage"/>
        <w:spacing w:before="0" w:after="0" w:line="240" w:lineRule="auto"/>
      </w:pPr>
      <w:r>
        <w:rPr>
          <w:rStyle w:val="Appelnotedebasdep"/>
        </w:rPr>
        <w:footnoteRef/>
      </w:r>
      <w:r>
        <w:t xml:space="preserve"> </w:t>
      </w:r>
      <w:r w:rsidRPr="00D556AB">
        <w:rPr>
          <w:sz w:val="18"/>
        </w:rPr>
        <w:t xml:space="preserve">Article R. 2152-1 du CCP. </w:t>
      </w:r>
    </w:p>
  </w:footnote>
  <w:footnote w:id="22">
    <w:p w14:paraId="7A8CFE4C" w14:textId="7715668D" w:rsidR="00ED00DB" w:rsidRDefault="00ED00DB" w:rsidP="003B7E62">
      <w:pPr>
        <w:pStyle w:val="Notedebasdepage"/>
        <w:spacing w:before="0" w:after="0" w:line="240" w:lineRule="auto"/>
      </w:pPr>
      <w:r>
        <w:rPr>
          <w:rStyle w:val="Appelnotedebasdep"/>
        </w:rPr>
        <w:footnoteRef/>
      </w:r>
      <w:r>
        <w:t xml:space="preserve"> </w:t>
      </w:r>
      <w:r w:rsidRPr="00D556AB">
        <w:rPr>
          <w:sz w:val="18"/>
        </w:rPr>
        <w:t>Article R. 2152-2 du CCP.</w:t>
      </w:r>
    </w:p>
  </w:footnote>
  <w:footnote w:id="23">
    <w:p w14:paraId="76A8572F" w14:textId="35A0E365" w:rsidR="00ED00DB" w:rsidRDefault="00ED00DB" w:rsidP="00D556AB">
      <w:pPr>
        <w:pStyle w:val="Notedebasdepage"/>
        <w:spacing w:before="0" w:after="0" w:line="240" w:lineRule="auto"/>
        <w:jc w:val="both"/>
      </w:pPr>
      <w:r>
        <w:rPr>
          <w:rStyle w:val="Appelnotedebasdep"/>
        </w:rPr>
        <w:footnoteRef/>
      </w:r>
      <w:r>
        <w:t xml:space="preserve"> </w:t>
      </w:r>
      <w:r w:rsidRPr="00D556AB">
        <w:rPr>
          <w:sz w:val="18"/>
        </w:rPr>
        <w:t>En 2017, environ 6 % des</w:t>
      </w:r>
      <w:r>
        <w:rPr>
          <w:sz w:val="18"/>
        </w:rPr>
        <w:t xml:space="preserve"> </w:t>
      </w:r>
      <w:r w:rsidRPr="00D556AB">
        <w:rPr>
          <w:sz w:val="18"/>
        </w:rPr>
        <w:t>contrats initiaux recensés par l’OECP émanaient d’un GME. En 2013, la proportion était de 5,3 %.</w:t>
      </w:r>
    </w:p>
  </w:footnote>
  <w:footnote w:id="24">
    <w:p w14:paraId="18C5C4C5" w14:textId="385CD302" w:rsidR="00ED00DB" w:rsidRDefault="00ED00DB" w:rsidP="00AF2F6C">
      <w:pPr>
        <w:pStyle w:val="Notedebasdepage"/>
        <w:spacing w:before="0" w:after="0" w:line="240" w:lineRule="auto"/>
      </w:pPr>
      <w:r>
        <w:rPr>
          <w:rStyle w:val="Appelnotedebasdep"/>
        </w:rPr>
        <w:footnoteRef/>
      </w:r>
      <w:r>
        <w:t xml:space="preserve"> </w:t>
      </w:r>
      <w:r w:rsidRPr="00842608">
        <w:rPr>
          <w:sz w:val="18"/>
        </w:rPr>
        <w:t xml:space="preserve">Par exemple, la </w:t>
      </w:r>
      <w:hyperlink r:id="rId4" w:history="1">
        <w:r w:rsidRPr="00842608">
          <w:rPr>
            <w:rStyle w:val="Lienhypertexte"/>
            <w:sz w:val="18"/>
          </w:rPr>
          <w:t>bourse à la cotraitance</w:t>
        </w:r>
      </w:hyperlink>
      <w:r w:rsidRPr="00842608">
        <w:rPr>
          <w:sz w:val="18"/>
        </w:rPr>
        <w:t xml:space="preserve"> de la DAE</w:t>
      </w:r>
      <w:r>
        <w:rPr>
          <w:sz w:val="18"/>
        </w:rPr>
        <w:t xml:space="preserve"> ou celle du </w:t>
      </w:r>
      <w:hyperlink r:id="rId5" w:history="1">
        <w:r w:rsidRPr="000A4E98">
          <w:rPr>
            <w:rStyle w:val="Lienhypertexte"/>
            <w:sz w:val="18"/>
          </w:rPr>
          <w:t>GIP Maximilien</w:t>
        </w:r>
      </w:hyperlink>
      <w:r w:rsidRPr="00842608">
        <w:rPr>
          <w:sz w:val="18"/>
        </w:rPr>
        <w:t xml:space="preserve">. </w:t>
      </w:r>
    </w:p>
  </w:footnote>
  <w:footnote w:id="25">
    <w:p w14:paraId="6536E619" w14:textId="7EB954E7" w:rsidR="00ED00DB" w:rsidRDefault="00ED00DB" w:rsidP="00842608">
      <w:pPr>
        <w:pStyle w:val="Notedebasdepage"/>
        <w:spacing w:before="0" w:after="0" w:line="240" w:lineRule="auto"/>
      </w:pPr>
      <w:r>
        <w:rPr>
          <w:rStyle w:val="Appelnotedebasdep"/>
        </w:rPr>
        <w:footnoteRef/>
      </w:r>
      <w:r>
        <w:t xml:space="preserve"> </w:t>
      </w:r>
      <w:r w:rsidRPr="00842608">
        <w:rPr>
          <w:sz w:val="18"/>
        </w:rPr>
        <w:t>Article R</w:t>
      </w:r>
      <w:r>
        <w:rPr>
          <w:sz w:val="18"/>
        </w:rPr>
        <w:t xml:space="preserve">. </w:t>
      </w:r>
      <w:r w:rsidRPr="00842608">
        <w:rPr>
          <w:sz w:val="18"/>
        </w:rPr>
        <w:t>2142-22 du CCP.</w:t>
      </w:r>
    </w:p>
  </w:footnote>
  <w:footnote w:id="26">
    <w:p w14:paraId="281D63F1" w14:textId="705A72C8" w:rsidR="00ED00DB" w:rsidRDefault="00ED00DB" w:rsidP="00C81C2A">
      <w:pPr>
        <w:pStyle w:val="Notedebasdepage"/>
        <w:spacing w:before="0" w:after="0" w:line="240" w:lineRule="auto"/>
      </w:pPr>
      <w:r>
        <w:rPr>
          <w:rStyle w:val="Appelnotedebasdep"/>
        </w:rPr>
        <w:footnoteRef/>
      </w:r>
      <w:r>
        <w:t xml:space="preserve"> </w:t>
      </w:r>
      <w:r>
        <w:rPr>
          <w:sz w:val="18"/>
        </w:rPr>
        <w:t xml:space="preserve">Par exemple, les </w:t>
      </w:r>
      <w:hyperlink r:id="rId6" w:history="1">
        <w:r w:rsidRPr="00310FB6">
          <w:rPr>
            <w:rStyle w:val="Lienhypertexte"/>
            <w:sz w:val="18"/>
          </w:rPr>
          <w:t>modèles de convention de groupement de la FNTP</w:t>
        </w:r>
      </w:hyperlink>
      <w:r>
        <w:rPr>
          <w:sz w:val="18"/>
        </w:rPr>
        <w:t xml:space="preserve">. </w:t>
      </w:r>
      <w:r w:rsidRPr="00D556AB">
        <w:rPr>
          <w:sz w:val="18"/>
        </w:rPr>
        <w:t xml:space="preserve"> </w:t>
      </w:r>
    </w:p>
  </w:footnote>
  <w:footnote w:id="27">
    <w:p w14:paraId="14FEAEC6" w14:textId="36D103F7" w:rsidR="00ED00DB" w:rsidRDefault="00ED00DB" w:rsidP="00C3289A">
      <w:pPr>
        <w:pStyle w:val="Notedebasdepage"/>
        <w:spacing w:before="0" w:after="0" w:line="240" w:lineRule="auto"/>
        <w:jc w:val="both"/>
      </w:pPr>
      <w:r>
        <w:rPr>
          <w:rStyle w:val="Appelnotedebasdep"/>
        </w:rPr>
        <w:footnoteRef/>
      </w:r>
      <w:r>
        <w:t xml:space="preserve"> </w:t>
      </w:r>
      <w:r w:rsidRPr="00C3289A">
        <w:rPr>
          <w:sz w:val="18"/>
        </w:rPr>
        <w:t xml:space="preserve">Certains organismes publics ont ainsi élaboré des guides déontologiques ciblés « achats publics » destinés à préciser le plus possible la nature et les règles de la relation avec les fournisseurs. Par exemple, la </w:t>
      </w:r>
      <w:hyperlink r:id="rId7" w:history="1">
        <w:r w:rsidRPr="00C3289A">
          <w:rPr>
            <w:rStyle w:val="Lienhypertexte"/>
            <w:sz w:val="18"/>
          </w:rPr>
          <w:t>charte de déontologie de la Ville de Paris</w:t>
        </w:r>
      </w:hyperlink>
      <w:r w:rsidRPr="00C3289A">
        <w:rPr>
          <w:sz w:val="18"/>
          <w:u w:val="single"/>
        </w:rPr>
        <w:t xml:space="preserve">, </w:t>
      </w:r>
      <w:r w:rsidRPr="00C3289A">
        <w:rPr>
          <w:sz w:val="18"/>
        </w:rPr>
        <w:t xml:space="preserve">celle de </w:t>
      </w:r>
      <w:hyperlink r:id="rId8" w:history="1">
        <w:r w:rsidRPr="00C3289A">
          <w:rPr>
            <w:rStyle w:val="Lienhypertexte"/>
            <w:sz w:val="18"/>
          </w:rPr>
          <w:t>Bordeaux Métropole</w:t>
        </w:r>
      </w:hyperlink>
      <w:r w:rsidRPr="00C3289A">
        <w:rPr>
          <w:sz w:val="18"/>
          <w:u w:val="single"/>
        </w:rPr>
        <w:t>,</w:t>
      </w:r>
      <w:r w:rsidRPr="00C3289A">
        <w:rPr>
          <w:sz w:val="18"/>
        </w:rPr>
        <w:t xml:space="preserve"> ou la </w:t>
      </w:r>
      <w:hyperlink r:id="rId9" w:history="1">
        <w:r w:rsidRPr="00C3289A">
          <w:rPr>
            <w:rStyle w:val="Lienhypertexte"/>
            <w:sz w:val="18"/>
          </w:rPr>
          <w:t>charte éthique de la SNCF</w:t>
        </w:r>
      </w:hyperlink>
      <w:r w:rsidRPr="00C3289A">
        <w:rPr>
          <w:sz w:val="18"/>
        </w:rPr>
        <w:t xml:space="preserve">. </w:t>
      </w:r>
    </w:p>
  </w:footnote>
  <w:footnote w:id="28">
    <w:p w14:paraId="327295F9" w14:textId="1F02350E" w:rsidR="00ED00DB" w:rsidRDefault="00ED00DB" w:rsidP="009F77FF">
      <w:pPr>
        <w:pStyle w:val="Notedebasdepage"/>
        <w:spacing w:before="0" w:after="0" w:line="240" w:lineRule="auto"/>
      </w:pPr>
      <w:r>
        <w:rPr>
          <w:rStyle w:val="Appelnotedebasdep"/>
        </w:rPr>
        <w:footnoteRef/>
      </w:r>
      <w:r>
        <w:t xml:space="preserve"> </w:t>
      </w:r>
      <w:r w:rsidRPr="00DE26C8">
        <w:rPr>
          <w:sz w:val="18"/>
        </w:rPr>
        <w:t>Articles R. 2122-1 et suivants du CCP.</w:t>
      </w:r>
    </w:p>
  </w:footnote>
  <w:footnote w:id="29">
    <w:p w14:paraId="595655B6" w14:textId="77777777" w:rsidR="00ED00DB" w:rsidRPr="009A0799" w:rsidRDefault="00ED00DB" w:rsidP="002539A7">
      <w:pPr>
        <w:pStyle w:val="Notedebasdepage"/>
        <w:spacing w:before="0" w:after="0" w:line="240" w:lineRule="auto"/>
        <w:rPr>
          <w:sz w:val="18"/>
        </w:rPr>
      </w:pPr>
      <w:r w:rsidRPr="009A0799">
        <w:rPr>
          <w:rStyle w:val="Appelnotedebasdep"/>
          <w:sz w:val="18"/>
        </w:rPr>
        <w:footnoteRef/>
      </w:r>
      <w:r w:rsidRPr="009A0799">
        <w:rPr>
          <w:sz w:val="18"/>
        </w:rPr>
        <w:t xml:space="preserve"> Article R2161-31 du CCP. </w:t>
      </w:r>
    </w:p>
  </w:footnote>
  <w:footnote w:id="30">
    <w:p w14:paraId="5D3CC435" w14:textId="1105C3CC" w:rsidR="00ED00DB" w:rsidRDefault="00ED00DB" w:rsidP="003F6ED8">
      <w:pPr>
        <w:pStyle w:val="Notedebasdepage"/>
        <w:spacing w:before="0" w:after="0" w:line="240" w:lineRule="auto"/>
        <w:jc w:val="both"/>
      </w:pPr>
      <w:r>
        <w:rPr>
          <w:rStyle w:val="Appelnotedebasdep"/>
        </w:rPr>
        <w:footnoteRef/>
      </w:r>
      <w:r>
        <w:t xml:space="preserve"> </w:t>
      </w:r>
      <w:r>
        <w:rPr>
          <w:sz w:val="18"/>
        </w:rPr>
        <w:t xml:space="preserve">Selon la </w:t>
      </w:r>
      <w:hyperlink r:id="rId10" w:history="1">
        <w:r w:rsidRPr="00AA0953">
          <w:rPr>
            <w:rStyle w:val="Lienhypertexte"/>
            <w:sz w:val="18"/>
          </w:rPr>
          <w:t>doctrine de la CADA</w:t>
        </w:r>
      </w:hyperlink>
      <w:r>
        <w:rPr>
          <w:sz w:val="18"/>
        </w:rPr>
        <w:t xml:space="preserve"> et conformément à la jurisprudence du Conseil d’Etat, </w:t>
      </w:r>
      <w:r w:rsidRPr="003F6ED8">
        <w:rPr>
          <w:sz w:val="18"/>
        </w:rPr>
        <w:t>l’offre de prix global</w:t>
      </w:r>
      <w:r>
        <w:rPr>
          <w:sz w:val="18"/>
        </w:rPr>
        <w:t>e</w:t>
      </w:r>
      <w:r w:rsidRPr="003F6ED8">
        <w:rPr>
          <w:sz w:val="18"/>
        </w:rPr>
        <w:t xml:space="preserve"> de l’entreprise retenue est communicable à toute personne qui en fait la demande. A l’inverse, le détail des prix proposés</w:t>
      </w:r>
      <w:r>
        <w:rPr>
          <w:sz w:val="18"/>
        </w:rPr>
        <w:t xml:space="preserve"> (type </w:t>
      </w:r>
      <w:r w:rsidRPr="00CE41A6">
        <w:rPr>
          <w:sz w:val="18"/>
        </w:rPr>
        <w:t xml:space="preserve">bordereau des prix unitaires) </w:t>
      </w:r>
      <w:r>
        <w:rPr>
          <w:sz w:val="18"/>
        </w:rPr>
        <w:t xml:space="preserve">est couvert par le secret car il reflète la stratégie commerciale de l’opérateur, de même que </w:t>
      </w:r>
      <w:r w:rsidRPr="00CE41A6">
        <w:rPr>
          <w:sz w:val="18"/>
        </w:rPr>
        <w:t>les mentions relatives aux moyens techniques et humains, à la certification</w:t>
      </w:r>
      <w:r>
        <w:rPr>
          <w:sz w:val="18"/>
        </w:rPr>
        <w:t xml:space="preserve"> qualité, etc. </w:t>
      </w:r>
    </w:p>
  </w:footnote>
  <w:footnote w:id="31">
    <w:p w14:paraId="16B81E75" w14:textId="7A944B60" w:rsidR="00ED00DB" w:rsidRPr="009A0799" w:rsidRDefault="00ED00DB" w:rsidP="00BB6374">
      <w:pPr>
        <w:pStyle w:val="Notedebasdepage"/>
        <w:spacing w:before="0" w:after="0" w:line="240" w:lineRule="auto"/>
        <w:jc w:val="both"/>
        <w:rPr>
          <w:sz w:val="18"/>
        </w:rPr>
      </w:pPr>
      <w:r w:rsidRPr="009A0799">
        <w:rPr>
          <w:rStyle w:val="Appelnotedebasdep"/>
          <w:sz w:val="18"/>
        </w:rPr>
        <w:footnoteRef/>
      </w:r>
      <w:r w:rsidRPr="009A0799">
        <w:rPr>
          <w:sz w:val="18"/>
        </w:rPr>
        <w:t xml:space="preserve"> Par exemple, le guide de la CCI </w:t>
      </w:r>
      <w:r>
        <w:rPr>
          <w:sz w:val="18"/>
        </w:rPr>
        <w:t>Paris Ile-de-France  (</w:t>
      </w:r>
      <w:hyperlink r:id="rId11" w:history="1">
        <w:r w:rsidRPr="003F6ED8">
          <w:rPr>
            <w:rStyle w:val="Lienhypertexte"/>
            <w:sz w:val="18"/>
          </w:rPr>
          <w:t>guide du secret des affaires</w:t>
        </w:r>
      </w:hyperlink>
      <w:r>
        <w:rPr>
          <w:sz w:val="18"/>
        </w:rPr>
        <w:t xml:space="preserve">) </w:t>
      </w:r>
      <w:r w:rsidRPr="003F6ED8">
        <w:rPr>
          <w:sz w:val="18"/>
        </w:rPr>
        <w:t>ou bien celui du MEDEF (</w:t>
      </w:r>
      <w:hyperlink r:id="rId12" w:history="1">
        <w:r w:rsidRPr="003F6ED8">
          <w:rPr>
            <w:rStyle w:val="Lienhypertexte"/>
            <w:sz w:val="18"/>
          </w:rPr>
          <w:t>guide pratique sur la protection des informations sensibles des entreprises</w:t>
        </w:r>
      </w:hyperlink>
      <w:r>
        <w:rPr>
          <w:sz w:val="18"/>
        </w:rPr>
        <w:t>).</w:t>
      </w:r>
    </w:p>
  </w:footnote>
  <w:footnote w:id="32">
    <w:p w14:paraId="25A9405B" w14:textId="66ACC73C" w:rsidR="00ED00DB" w:rsidRDefault="00ED00DB" w:rsidP="00501057">
      <w:pPr>
        <w:pStyle w:val="Notedebasdepage"/>
        <w:spacing w:before="0" w:after="0" w:line="240" w:lineRule="auto"/>
        <w:contextualSpacing/>
        <w:jc w:val="both"/>
      </w:pPr>
      <w:r>
        <w:rPr>
          <w:rStyle w:val="Appelnotedebasdep"/>
        </w:rPr>
        <w:footnoteRef/>
      </w:r>
      <w:r>
        <w:t xml:space="preserve"> </w:t>
      </w:r>
      <w:r w:rsidRPr="007B2681">
        <w:rPr>
          <w:sz w:val="18"/>
        </w:rPr>
        <w:t>Article R</w:t>
      </w:r>
      <w:r>
        <w:rPr>
          <w:sz w:val="18"/>
        </w:rPr>
        <w:t xml:space="preserve">. </w:t>
      </w:r>
      <w:r w:rsidRPr="007B2681">
        <w:rPr>
          <w:sz w:val="18"/>
        </w:rPr>
        <w:t xml:space="preserve">2193-9 du CCP. </w:t>
      </w:r>
      <w:r>
        <w:rPr>
          <w:sz w:val="18"/>
        </w:rPr>
        <w:t xml:space="preserve">Le respect de cette règle nécessite cependant d’avoir connaissance des prestations sous-traitées et de leur montant dès le stade des offres. Une question en ce sens peut être adressée aux candidats, même si ceux-ci peuvent recourir à la sous-traitance tout au long du marché. Cf. </w:t>
      </w:r>
      <w:hyperlink w:anchor="_Fiche_16_:" w:history="1">
        <w:r w:rsidRPr="00501057">
          <w:rPr>
            <w:rStyle w:val="Lienhypertexte"/>
            <w:sz w:val="18"/>
          </w:rPr>
          <w:t>point dédié</w:t>
        </w:r>
      </w:hyperlink>
      <w:r>
        <w:rPr>
          <w:sz w:val="18"/>
        </w:rPr>
        <w:t>.</w:t>
      </w:r>
    </w:p>
  </w:footnote>
  <w:footnote w:id="33">
    <w:p w14:paraId="122344AB" w14:textId="1343BA81" w:rsidR="00ED00DB" w:rsidRDefault="00ED00DB" w:rsidP="006E0C20">
      <w:pPr>
        <w:pStyle w:val="Notedebasdepage"/>
        <w:spacing w:before="0" w:after="0" w:line="240" w:lineRule="auto"/>
      </w:pPr>
      <w:r>
        <w:rPr>
          <w:rStyle w:val="Appelnotedebasdep"/>
        </w:rPr>
        <w:footnoteRef/>
      </w:r>
      <w:r>
        <w:t xml:space="preserve"> </w:t>
      </w:r>
      <w:r w:rsidRPr="006E0C20">
        <w:rPr>
          <w:sz w:val="18"/>
        </w:rPr>
        <w:t>CE, 13 mars 2019, Société SEPUR, n° 425191.</w:t>
      </w:r>
    </w:p>
  </w:footnote>
  <w:footnote w:id="34">
    <w:p w14:paraId="48A03A6A" w14:textId="14527B57" w:rsidR="00ED00DB" w:rsidRDefault="00ED00DB" w:rsidP="00E27CC0">
      <w:pPr>
        <w:pStyle w:val="Notedebasdepage"/>
        <w:spacing w:before="0" w:after="0" w:line="240" w:lineRule="auto"/>
        <w:jc w:val="both"/>
      </w:pPr>
      <w:r>
        <w:rPr>
          <w:rStyle w:val="Appelnotedebasdep"/>
        </w:rPr>
        <w:footnoteRef/>
      </w:r>
      <w:r>
        <w:t xml:space="preserve"> </w:t>
      </w:r>
      <w:r w:rsidRPr="00C0720F">
        <w:rPr>
          <w:sz w:val="18"/>
        </w:rPr>
        <w:t>Notamment, article R</w:t>
      </w:r>
      <w:r>
        <w:rPr>
          <w:sz w:val="18"/>
        </w:rPr>
        <w:t>.</w:t>
      </w:r>
      <w:r w:rsidRPr="00C0720F">
        <w:rPr>
          <w:sz w:val="18"/>
        </w:rPr>
        <w:t xml:space="preserve"> 2161-31 du code de la commande publique (dialogue compétitif) ;</w:t>
      </w:r>
      <w:r>
        <w:rPr>
          <w:sz w:val="18"/>
        </w:rPr>
        <w:t xml:space="preserve"> article R. 2162-20 (concours) ; a</w:t>
      </w:r>
      <w:r w:rsidRPr="00C0720F">
        <w:rPr>
          <w:sz w:val="18"/>
        </w:rPr>
        <w:t>rticle R</w:t>
      </w:r>
      <w:r>
        <w:rPr>
          <w:sz w:val="18"/>
        </w:rPr>
        <w:t>.</w:t>
      </w:r>
      <w:r w:rsidRPr="00C0720F">
        <w:rPr>
          <w:sz w:val="18"/>
        </w:rPr>
        <w:t xml:space="preserve"> 2171-19 (marchés globaux). </w:t>
      </w:r>
    </w:p>
  </w:footnote>
  <w:footnote w:id="35">
    <w:p w14:paraId="1C191762" w14:textId="77777777" w:rsidR="00ED00DB" w:rsidRPr="0059524E" w:rsidRDefault="00ED00DB" w:rsidP="00EE395F">
      <w:pPr>
        <w:tabs>
          <w:tab w:val="left" w:pos="1256"/>
        </w:tabs>
        <w:spacing w:before="0" w:after="0" w:line="240" w:lineRule="auto"/>
        <w:jc w:val="both"/>
        <w:rPr>
          <w:rFonts w:eastAsia="Times New Roman" w:cs="Arial"/>
          <w:sz w:val="18"/>
          <w:szCs w:val="18"/>
          <w:lang w:eastAsia="fr-FR"/>
        </w:rPr>
      </w:pPr>
      <w:r>
        <w:rPr>
          <w:rStyle w:val="Appelnotedebasdep"/>
        </w:rPr>
        <w:footnoteRef/>
      </w:r>
      <w:r>
        <w:t xml:space="preserve"> </w:t>
      </w:r>
      <w:r w:rsidRPr="0059524E">
        <w:rPr>
          <w:sz w:val="18"/>
          <w:szCs w:val="18"/>
        </w:rPr>
        <w:t>Article 33 du décret du 7 novembre 2012 relatif à la gestion budgétaire et comptable publique : «</w:t>
      </w:r>
      <w:r w:rsidRPr="0059524E">
        <w:rPr>
          <w:rFonts w:eastAsia="Times New Roman" w:cs="Arial"/>
          <w:sz w:val="18"/>
          <w:szCs w:val="18"/>
          <w:lang w:eastAsia="fr-FR"/>
        </w:rPr>
        <w:t xml:space="preserve"> </w:t>
      </w:r>
      <w:r w:rsidRPr="0059524E">
        <w:rPr>
          <w:rFonts w:eastAsia="Times New Roman" w:cs="Arial"/>
          <w:i/>
          <w:sz w:val="18"/>
          <w:szCs w:val="18"/>
          <w:lang w:eastAsia="fr-FR"/>
        </w:rPr>
        <w:t xml:space="preserve">le paiement est l'acte par lequel une personne morale se libère de sa dette. Sous réserve des exceptions prévues par les lois et règlements, le paiement ne peut intervenir avant l'échéance de la dette, </w:t>
      </w:r>
      <w:r w:rsidRPr="0059524E">
        <w:rPr>
          <w:rFonts w:eastAsia="Times New Roman" w:cs="Arial"/>
          <w:i/>
          <w:sz w:val="18"/>
          <w:szCs w:val="18"/>
          <w:u w:val="single"/>
          <w:lang w:eastAsia="fr-FR"/>
        </w:rPr>
        <w:t>l'exécution du service</w:t>
      </w:r>
      <w:r w:rsidRPr="0059524E">
        <w:rPr>
          <w:rFonts w:eastAsia="Times New Roman" w:cs="Arial"/>
          <w:i/>
          <w:sz w:val="18"/>
          <w:szCs w:val="18"/>
          <w:lang w:eastAsia="fr-FR"/>
        </w:rPr>
        <w:t>, la décision individuelle d'attribution d'allocations ou la décision individuelle de subvention </w:t>
      </w:r>
      <w:r w:rsidRPr="0059524E">
        <w:rPr>
          <w:rFonts w:eastAsia="Times New Roman" w:cs="Arial"/>
          <w:sz w:val="18"/>
          <w:szCs w:val="18"/>
          <w:lang w:eastAsia="fr-FR"/>
        </w:rPr>
        <w:t>».</w:t>
      </w:r>
    </w:p>
  </w:footnote>
  <w:footnote w:id="36">
    <w:p w14:paraId="0147C4DB" w14:textId="1C9F97D1" w:rsidR="00ED00DB" w:rsidRPr="006C2C88" w:rsidRDefault="00ED00DB" w:rsidP="00D17B18">
      <w:pPr>
        <w:spacing w:before="0" w:after="0" w:line="240" w:lineRule="auto"/>
        <w:jc w:val="both"/>
        <w:rPr>
          <w:sz w:val="18"/>
        </w:rPr>
      </w:pPr>
      <w:r w:rsidRPr="007B2681">
        <w:rPr>
          <w:rStyle w:val="Appelnotedebasdep"/>
          <w:sz w:val="18"/>
        </w:rPr>
        <w:footnoteRef/>
      </w:r>
      <w:r w:rsidRPr="007B2681">
        <w:rPr>
          <w:sz w:val="18"/>
        </w:rPr>
        <w:t xml:space="preserve"> Le montant varie en fonction de la durée d’exécution du marché public, selon qu’elle excède ou non 12 mois. Pour plus de </w:t>
      </w:r>
      <w:r w:rsidRPr="006C2C88">
        <w:rPr>
          <w:sz w:val="18"/>
        </w:rPr>
        <w:t xml:space="preserve">détails, consulter la </w:t>
      </w:r>
      <w:hyperlink r:id="rId13" w:history="1">
        <w:r w:rsidRPr="006C2C88">
          <w:rPr>
            <w:rStyle w:val="Lienhypertexte"/>
            <w:sz w:val="18"/>
          </w:rPr>
          <w:t>fiche dédiée de la DAJ</w:t>
        </w:r>
      </w:hyperlink>
      <w:r w:rsidRPr="006C2C88">
        <w:rPr>
          <w:sz w:val="18"/>
        </w:rPr>
        <w:t>.</w:t>
      </w:r>
    </w:p>
  </w:footnote>
  <w:footnote w:id="37">
    <w:p w14:paraId="21139DD7" w14:textId="5AB143E7" w:rsidR="00ED00DB" w:rsidRPr="007B2681" w:rsidRDefault="00ED00DB" w:rsidP="00D17B18">
      <w:pPr>
        <w:pStyle w:val="Notedebasdepage"/>
        <w:spacing w:before="0" w:after="0" w:line="240" w:lineRule="auto"/>
        <w:jc w:val="both"/>
        <w:rPr>
          <w:sz w:val="18"/>
        </w:rPr>
      </w:pPr>
      <w:r w:rsidRPr="006C2C88">
        <w:rPr>
          <w:rStyle w:val="Appelnotedebasdep"/>
          <w:sz w:val="18"/>
        </w:rPr>
        <w:footnoteRef/>
      </w:r>
      <w:r w:rsidRPr="006C2C88">
        <w:rPr>
          <w:sz w:val="18"/>
        </w:rPr>
        <w:t xml:space="preserve"> </w:t>
      </w:r>
      <w:r w:rsidRPr="006C2C88">
        <w:rPr>
          <w:sz w:val="18"/>
          <w:shd w:val="clear" w:color="auto" w:fill="FFFFFF" w:themeFill="background1"/>
        </w:rPr>
        <w:t>Article 7 du décret du 24 décembre 2018 portant diverses mesures relatives aux contrats de la commande publique.</w:t>
      </w:r>
    </w:p>
  </w:footnote>
  <w:footnote w:id="38">
    <w:p w14:paraId="753741E1" w14:textId="66AD3E40" w:rsidR="00ED00DB" w:rsidRPr="007B2681" w:rsidRDefault="00ED00DB" w:rsidP="00FE0438">
      <w:pPr>
        <w:pStyle w:val="Notedebasdepage"/>
        <w:spacing w:before="0" w:after="0" w:line="240" w:lineRule="auto"/>
        <w:jc w:val="both"/>
        <w:rPr>
          <w:sz w:val="18"/>
          <w:highlight w:val="yellow"/>
        </w:rPr>
      </w:pPr>
      <w:r w:rsidRPr="007B2681">
        <w:rPr>
          <w:rStyle w:val="Appelnotedebasdep"/>
          <w:sz w:val="18"/>
        </w:rPr>
        <w:footnoteRef/>
      </w:r>
      <w:r w:rsidRPr="007B2681">
        <w:rPr>
          <w:sz w:val="18"/>
        </w:rPr>
        <w:t xml:space="preserve"> Article R</w:t>
      </w:r>
      <w:r>
        <w:rPr>
          <w:sz w:val="18"/>
        </w:rPr>
        <w:t xml:space="preserve">. </w:t>
      </w:r>
      <w:r w:rsidRPr="007B2681">
        <w:rPr>
          <w:sz w:val="18"/>
        </w:rPr>
        <w:t>2191-7 du CCP, qui établit un régime distinct pour l’Etat et les collectivités territoriales.</w:t>
      </w:r>
    </w:p>
  </w:footnote>
  <w:footnote w:id="39">
    <w:p w14:paraId="454694E8" w14:textId="77777777" w:rsidR="00ED00DB" w:rsidRDefault="00ED00DB" w:rsidP="00FE0438">
      <w:pPr>
        <w:pStyle w:val="Notedebasdepage"/>
        <w:spacing w:before="0" w:after="0" w:line="240" w:lineRule="auto"/>
        <w:jc w:val="both"/>
      </w:pPr>
      <w:r w:rsidRPr="00BF6960">
        <w:rPr>
          <w:rStyle w:val="Appelnotedebasdep"/>
          <w:sz w:val="18"/>
        </w:rPr>
        <w:footnoteRef/>
      </w:r>
      <w:r w:rsidRPr="00BF6960">
        <w:rPr>
          <w:sz w:val="18"/>
        </w:rPr>
        <w:t xml:space="preserve"> Article R2191-32 et suivants du CCP.</w:t>
      </w:r>
      <w:r>
        <w:rPr>
          <w:sz w:val="18"/>
        </w:rPr>
        <w:t xml:space="preserve"> </w:t>
      </w:r>
    </w:p>
  </w:footnote>
  <w:footnote w:id="40">
    <w:p w14:paraId="13D21A20" w14:textId="297506FB" w:rsidR="00ED00DB" w:rsidRDefault="00ED00DB" w:rsidP="007E0372">
      <w:pPr>
        <w:pStyle w:val="Notedebasdepage"/>
        <w:spacing w:before="0" w:after="0" w:line="240" w:lineRule="auto"/>
      </w:pPr>
      <w:r>
        <w:rPr>
          <w:rStyle w:val="Appelnotedebasdep"/>
        </w:rPr>
        <w:footnoteRef/>
      </w:r>
      <w:r>
        <w:t xml:space="preserve"> </w:t>
      </w:r>
      <w:r w:rsidRPr="007E0372">
        <w:rPr>
          <w:sz w:val="18"/>
        </w:rPr>
        <w:t>Article 8 du décret du 24 décembre 2018 précité.</w:t>
      </w:r>
    </w:p>
  </w:footnote>
  <w:footnote w:id="41">
    <w:p w14:paraId="02354CEA" w14:textId="77777777" w:rsidR="00ED00DB" w:rsidRPr="00AD422C" w:rsidRDefault="00ED00DB" w:rsidP="004D7CA5">
      <w:pPr>
        <w:pStyle w:val="Notedebasdepage"/>
        <w:spacing w:before="0" w:after="0" w:line="240" w:lineRule="auto"/>
        <w:rPr>
          <w:sz w:val="18"/>
        </w:rPr>
      </w:pPr>
      <w:r w:rsidRPr="00AD422C">
        <w:rPr>
          <w:rStyle w:val="Appelnotedebasdep"/>
          <w:sz w:val="18"/>
        </w:rPr>
        <w:footnoteRef/>
      </w:r>
      <w:r w:rsidRPr="00AD422C">
        <w:rPr>
          <w:sz w:val="18"/>
        </w:rPr>
        <w:t xml:space="preserve"> Cf. article 9 des CCAG FCS / Travaux / MI / PI. </w:t>
      </w:r>
    </w:p>
  </w:footnote>
  <w:footnote w:id="42">
    <w:p w14:paraId="1A0A5148" w14:textId="447D4A87" w:rsidR="00986340" w:rsidRDefault="00986340" w:rsidP="00986340">
      <w:pPr>
        <w:pStyle w:val="Notedebasdepage"/>
        <w:spacing w:before="0" w:after="0" w:line="240" w:lineRule="auto"/>
        <w:jc w:val="both"/>
      </w:pPr>
      <w:r>
        <w:rPr>
          <w:rStyle w:val="Appelnotedebasdep"/>
        </w:rPr>
        <w:footnoteRef/>
      </w:r>
      <w:r>
        <w:t xml:space="preserve"> </w:t>
      </w:r>
      <w:r w:rsidRPr="00986340">
        <w:rPr>
          <w:sz w:val="18"/>
        </w:rPr>
        <w:t>Généralement, le CCAG et le contrat prévoient même un délai (15 jours) après notification pour fournir le justificatif.</w:t>
      </w:r>
    </w:p>
  </w:footnote>
  <w:footnote w:id="43">
    <w:p w14:paraId="17D6E146" w14:textId="2C12A3D1" w:rsidR="00ED00DB" w:rsidRDefault="00ED00DB" w:rsidP="00F355F1">
      <w:pPr>
        <w:pStyle w:val="Notedebasdepage"/>
        <w:spacing w:before="0" w:after="0" w:line="240" w:lineRule="auto"/>
        <w:jc w:val="both"/>
      </w:pPr>
      <w:r w:rsidRPr="00AD422C">
        <w:rPr>
          <w:rStyle w:val="Appelnotedebasdep"/>
          <w:sz w:val="18"/>
        </w:rPr>
        <w:footnoteRef/>
      </w:r>
      <w:r w:rsidRPr="00AD422C">
        <w:rPr>
          <w:sz w:val="18"/>
        </w:rPr>
        <w:t xml:space="preserve"> </w:t>
      </w:r>
      <w:hyperlink r:id="rId14" w:history="1">
        <w:r w:rsidRPr="00384453">
          <w:rPr>
            <w:rStyle w:val="Lienhypertexte"/>
            <w:sz w:val="18"/>
          </w:rPr>
          <w:t>Arrêté du 5 janvier 2016</w:t>
        </w:r>
      </w:hyperlink>
      <w:r w:rsidRPr="00AD422C">
        <w:rPr>
          <w:sz w:val="18"/>
        </w:rPr>
        <w:t xml:space="preserve"> </w:t>
      </w:r>
      <w:r w:rsidRPr="00384453">
        <w:rPr>
          <w:sz w:val="18"/>
        </w:rPr>
        <w:t>fixant un modèle d'attestation d'assurance comprenant des mentions minimales prévu par l'article L</w:t>
      </w:r>
      <w:r>
        <w:rPr>
          <w:sz w:val="18"/>
        </w:rPr>
        <w:t>. 243-2 du code des assurances (pour les</w:t>
      </w:r>
      <w:r w:rsidRPr="00AD422C">
        <w:rPr>
          <w:sz w:val="18"/>
        </w:rPr>
        <w:t xml:space="preserve"> chantiers dont la date d’ouverture est postérieure au 1er juillet 2016</w:t>
      </w:r>
      <w:r>
        <w:rPr>
          <w:sz w:val="18"/>
        </w:rPr>
        <w:t>)</w:t>
      </w:r>
      <w:r w:rsidRPr="00AD422C">
        <w:rPr>
          <w:sz w:val="18"/>
        </w:rPr>
        <w:t>.</w:t>
      </w:r>
    </w:p>
  </w:footnote>
  <w:footnote w:id="44">
    <w:p w14:paraId="51D46488" w14:textId="77777777" w:rsidR="00ED00DB" w:rsidRDefault="00ED00DB" w:rsidP="004D7CA5">
      <w:pPr>
        <w:pStyle w:val="Notedebasdepage"/>
        <w:spacing w:before="0" w:after="0" w:line="240" w:lineRule="auto"/>
      </w:pPr>
      <w:r w:rsidRPr="00AD422C">
        <w:rPr>
          <w:rStyle w:val="Appelnotedebasdep"/>
          <w:sz w:val="18"/>
        </w:rPr>
        <w:footnoteRef/>
      </w:r>
      <w:r w:rsidRPr="00AD422C">
        <w:rPr>
          <w:sz w:val="18"/>
        </w:rPr>
        <w:t xml:space="preserve"> Article L243-1-1 du code des assurances. </w:t>
      </w:r>
    </w:p>
  </w:footnote>
  <w:footnote w:id="45">
    <w:p w14:paraId="3A471717" w14:textId="13547429" w:rsidR="00ED00DB" w:rsidRDefault="00ED00DB" w:rsidP="002F3ADD">
      <w:pPr>
        <w:pStyle w:val="Notedebasdepage"/>
        <w:spacing w:before="0" w:after="0" w:line="240" w:lineRule="auto"/>
        <w:jc w:val="both"/>
      </w:pPr>
      <w:r>
        <w:rPr>
          <w:rStyle w:val="Appelnotedebasdep"/>
        </w:rPr>
        <w:footnoteRef/>
      </w:r>
      <w:r>
        <w:t xml:space="preserve"> </w:t>
      </w:r>
      <w:r w:rsidRPr="002F3ADD">
        <w:rPr>
          <w:sz w:val="18"/>
        </w:rPr>
        <w:t>Cette extension ne couvre que les dommages causés aux tiers du fait de son activité de mandataire solidaire. Il ne s’agit pas d’assurer, vis-à-vis de l’acheteur, la solidarité du mandataire en cas de défaillance d’un membre du groupement.</w:t>
      </w:r>
    </w:p>
  </w:footnote>
  <w:footnote w:id="46">
    <w:p w14:paraId="5379E7A5" w14:textId="0A1151AA" w:rsidR="00ED00DB" w:rsidRDefault="00ED00DB" w:rsidP="002C3F9C">
      <w:pPr>
        <w:pStyle w:val="Notedebasdepage"/>
        <w:spacing w:before="0" w:after="0" w:line="240" w:lineRule="auto"/>
      </w:pPr>
      <w:r>
        <w:rPr>
          <w:rStyle w:val="Appelnotedebasdep"/>
        </w:rPr>
        <w:footnoteRef/>
      </w:r>
      <w:r>
        <w:t xml:space="preserve"> </w:t>
      </w:r>
      <w:r w:rsidRPr="00C87756">
        <w:rPr>
          <w:sz w:val="18"/>
        </w:rPr>
        <w:t>Article L</w:t>
      </w:r>
      <w:r>
        <w:rPr>
          <w:sz w:val="18"/>
        </w:rPr>
        <w:t xml:space="preserve">. </w:t>
      </w:r>
      <w:r w:rsidRPr="00C87756">
        <w:rPr>
          <w:sz w:val="18"/>
        </w:rPr>
        <w:t xml:space="preserve">2192-13 du CCP. </w:t>
      </w:r>
    </w:p>
  </w:footnote>
  <w:footnote w:id="47">
    <w:p w14:paraId="0276759E" w14:textId="20C0056E" w:rsidR="00ED00DB" w:rsidRDefault="00ED00DB" w:rsidP="002C3F9C">
      <w:pPr>
        <w:pStyle w:val="Notedebasdepage"/>
        <w:spacing w:before="0" w:after="0" w:line="240" w:lineRule="auto"/>
      </w:pPr>
      <w:r>
        <w:rPr>
          <w:rStyle w:val="Appelnotedebasdep"/>
        </w:rPr>
        <w:footnoteRef/>
      </w:r>
      <w:r>
        <w:t xml:space="preserve"> </w:t>
      </w:r>
      <w:r w:rsidRPr="007B2681">
        <w:rPr>
          <w:sz w:val="18"/>
        </w:rPr>
        <w:t xml:space="preserve">Il existe </w:t>
      </w:r>
      <w:r>
        <w:rPr>
          <w:sz w:val="18"/>
        </w:rPr>
        <w:t xml:space="preserve">à cet effet </w:t>
      </w:r>
      <w:r w:rsidRPr="007B2681">
        <w:rPr>
          <w:sz w:val="18"/>
        </w:rPr>
        <w:t xml:space="preserve">un </w:t>
      </w:r>
      <w:hyperlink r:id="rId15" w:history="1">
        <w:r w:rsidRPr="007B2681">
          <w:rPr>
            <w:rStyle w:val="Lienhypertexte"/>
            <w:sz w:val="18"/>
          </w:rPr>
          <w:t>simulateur de calcul </w:t>
        </w:r>
      </w:hyperlink>
      <w:r w:rsidRPr="007B2681">
        <w:rPr>
          <w:sz w:val="18"/>
        </w:rPr>
        <w:t>des intérêts moratoires.</w:t>
      </w:r>
    </w:p>
  </w:footnote>
  <w:footnote w:id="48">
    <w:p w14:paraId="06947829" w14:textId="1A3F4D63" w:rsidR="00ED00DB" w:rsidRDefault="00ED00DB" w:rsidP="00BD39C3">
      <w:pPr>
        <w:pStyle w:val="Notedebasdepage"/>
        <w:spacing w:before="0" w:after="0" w:line="240" w:lineRule="auto"/>
        <w:jc w:val="both"/>
      </w:pPr>
      <w:r>
        <w:rPr>
          <w:rStyle w:val="Appelnotedebasdep"/>
        </w:rPr>
        <w:footnoteRef/>
      </w:r>
      <w:r>
        <w:t xml:space="preserve"> </w:t>
      </w:r>
      <w:hyperlink r:id="rId16" w:history="1">
        <w:r w:rsidRPr="004D0019">
          <w:rPr>
            <w:rStyle w:val="Lienhypertexte"/>
            <w:sz w:val="18"/>
            <w:szCs w:val="18"/>
            <w:shd w:val="clear" w:color="auto" w:fill="FFFFFF" w:themeFill="background1"/>
          </w:rPr>
          <w:t>Rapport 2018 de l’Observatoire des délais de paiement </w:t>
        </w:r>
      </w:hyperlink>
      <w:r w:rsidRPr="004D0019">
        <w:rPr>
          <w:sz w:val="18"/>
          <w:szCs w:val="18"/>
          <w:shd w:val="clear" w:color="auto" w:fill="FFFFFF" w:themeFill="background1"/>
        </w:rPr>
        <w:t>:</w:t>
      </w:r>
      <w:r w:rsidRPr="004D0019">
        <w:rPr>
          <w:sz w:val="18"/>
          <w:szCs w:val="18"/>
        </w:rPr>
        <w:t xml:space="preserve"> le délai</w:t>
      </w:r>
      <w:r w:rsidRPr="00077A09">
        <w:rPr>
          <w:sz w:val="18"/>
          <w:szCs w:val="18"/>
        </w:rPr>
        <w:t xml:space="preserve"> global de paiement de l’Etat s’élève à </w:t>
      </w:r>
      <w:r w:rsidRPr="007C6094">
        <w:rPr>
          <w:sz w:val="18"/>
          <w:szCs w:val="18"/>
        </w:rPr>
        <w:t>16,3 jours en</w:t>
      </w:r>
      <w:r w:rsidRPr="00077A09">
        <w:rPr>
          <w:sz w:val="18"/>
          <w:szCs w:val="18"/>
        </w:rPr>
        <w:t xml:space="preserve"> 2018. Le délai spécifique de la commande publique s’établit quant à lui à </w:t>
      </w:r>
      <w:r w:rsidRPr="007C6094">
        <w:rPr>
          <w:sz w:val="18"/>
          <w:szCs w:val="18"/>
        </w:rPr>
        <w:t>21,4 jours (contre</w:t>
      </w:r>
      <w:r w:rsidRPr="00077A09">
        <w:rPr>
          <w:sz w:val="18"/>
          <w:szCs w:val="18"/>
        </w:rPr>
        <w:t xml:space="preserve"> 45,1 jours en 2011). Le délai de </w:t>
      </w:r>
      <w:r w:rsidRPr="00EB06F2">
        <w:rPr>
          <w:sz w:val="18"/>
          <w:szCs w:val="18"/>
        </w:rPr>
        <w:t>paiement des collectivités locales (toutes collectivités confondues ainsi que leurs établissements) s’établit à 27 jours en 2018.</w:t>
      </w:r>
    </w:p>
  </w:footnote>
  <w:footnote w:id="49">
    <w:p w14:paraId="4E784018" w14:textId="165AEA06" w:rsidR="00ED00DB" w:rsidRDefault="00ED00DB" w:rsidP="00BD39C3">
      <w:pPr>
        <w:pStyle w:val="Notedebasdepage"/>
        <w:spacing w:before="0" w:after="0" w:line="240" w:lineRule="auto"/>
        <w:jc w:val="both"/>
      </w:pPr>
      <w:r>
        <w:rPr>
          <w:rStyle w:val="Appelnotedebasdep"/>
        </w:rPr>
        <w:footnoteRef/>
      </w:r>
      <w:r>
        <w:t xml:space="preserve"> </w:t>
      </w:r>
      <w:r w:rsidRPr="00AF42B3">
        <w:rPr>
          <w:sz w:val="18"/>
        </w:rPr>
        <w:t>Article R</w:t>
      </w:r>
      <w:r>
        <w:rPr>
          <w:sz w:val="18"/>
        </w:rPr>
        <w:t xml:space="preserve">. </w:t>
      </w:r>
      <w:r w:rsidRPr="00AF42B3">
        <w:rPr>
          <w:sz w:val="18"/>
        </w:rPr>
        <w:t>2192-27</w:t>
      </w:r>
      <w:r>
        <w:rPr>
          <w:sz w:val="18"/>
        </w:rPr>
        <w:t xml:space="preserve"> du CCP. </w:t>
      </w:r>
    </w:p>
  </w:footnote>
  <w:footnote w:id="50">
    <w:p w14:paraId="7B8B5CE5" w14:textId="513BFD47" w:rsidR="00ED00DB" w:rsidRDefault="00ED00DB" w:rsidP="008E6EED">
      <w:pPr>
        <w:pStyle w:val="Notedebasdepage"/>
        <w:spacing w:before="0" w:after="0" w:line="240" w:lineRule="auto"/>
      </w:pPr>
      <w:r>
        <w:rPr>
          <w:rStyle w:val="Appelnotedebasdep"/>
        </w:rPr>
        <w:footnoteRef/>
      </w:r>
      <w:r>
        <w:t xml:space="preserve"> </w:t>
      </w:r>
      <w:r w:rsidRPr="003C45A8">
        <w:rPr>
          <w:sz w:val="18"/>
        </w:rPr>
        <w:t xml:space="preserve">Consultez la page Internet dédiée aux </w:t>
      </w:r>
      <w:hyperlink r:id="rId17" w:history="1">
        <w:r w:rsidRPr="003C45A8">
          <w:rPr>
            <w:rStyle w:val="Lienhypertexte"/>
            <w:sz w:val="18"/>
          </w:rPr>
          <w:t>points clés pour les MOE</w:t>
        </w:r>
      </w:hyperlink>
      <w:r w:rsidRPr="003C45A8">
        <w:rPr>
          <w:sz w:val="18"/>
        </w:rPr>
        <w:t>.</w:t>
      </w:r>
    </w:p>
  </w:footnote>
  <w:footnote w:id="51">
    <w:p w14:paraId="7C9374E0" w14:textId="0260B388" w:rsidR="00ED00DB" w:rsidRDefault="00ED00DB" w:rsidP="004D06C6">
      <w:pPr>
        <w:pStyle w:val="Notedebasdepage"/>
        <w:spacing w:before="0" w:after="0" w:line="240" w:lineRule="auto"/>
        <w:jc w:val="both"/>
      </w:pPr>
      <w:r>
        <w:rPr>
          <w:rStyle w:val="Appelnotedebasdep"/>
        </w:rPr>
        <w:footnoteRef/>
      </w:r>
      <w:r>
        <w:t xml:space="preserve"> </w:t>
      </w:r>
      <w:r w:rsidRPr="004D06C6">
        <w:rPr>
          <w:sz w:val="18"/>
        </w:rPr>
        <w:t xml:space="preserve">Pour plus de détails, consulter le </w:t>
      </w:r>
      <w:hyperlink r:id="rId18" w:history="1">
        <w:r w:rsidRPr="004D06C6">
          <w:rPr>
            <w:rStyle w:val="Lienhypertexte"/>
            <w:sz w:val="18"/>
          </w:rPr>
          <w:t>décret du 26 octobre 2004 relatif à l'exécution des marchés publics par carte d'achat</w:t>
        </w:r>
      </w:hyperlink>
      <w:r w:rsidRPr="004D06C6">
        <w:rPr>
          <w:sz w:val="18"/>
        </w:rPr>
        <w:t xml:space="preserve">. </w:t>
      </w:r>
    </w:p>
  </w:footnote>
  <w:footnote w:id="52">
    <w:p w14:paraId="241C7052" w14:textId="080698EE" w:rsidR="00ED00DB" w:rsidRPr="007B2681" w:rsidRDefault="00ED00DB" w:rsidP="00A40919">
      <w:pPr>
        <w:pStyle w:val="Notedebasdepage"/>
        <w:spacing w:before="0" w:after="0" w:line="240" w:lineRule="auto"/>
        <w:jc w:val="both"/>
        <w:rPr>
          <w:sz w:val="18"/>
        </w:rPr>
      </w:pPr>
      <w:r w:rsidRPr="007B2681">
        <w:rPr>
          <w:rStyle w:val="Appelnotedebasdep"/>
          <w:sz w:val="18"/>
        </w:rPr>
        <w:footnoteRef/>
      </w:r>
      <w:r w:rsidRPr="007B2681">
        <w:rPr>
          <w:sz w:val="18"/>
        </w:rPr>
        <w:t xml:space="preserve"> Ce dispositif requiert le respect de certaines conditions, notamment la passation d’un marché public pour la déterminat</w:t>
      </w:r>
      <w:r>
        <w:rPr>
          <w:sz w:val="18"/>
        </w:rPr>
        <w:t xml:space="preserve">ion de la société d’affacturage, qui assurera le paiement immédiat des factures aux fournisseurs. </w:t>
      </w:r>
    </w:p>
  </w:footnote>
  <w:footnote w:id="53">
    <w:p w14:paraId="4128ACBD" w14:textId="326D6AAC" w:rsidR="00ED00DB" w:rsidRDefault="00ED00DB" w:rsidP="00122A52">
      <w:pPr>
        <w:pStyle w:val="Notedebasdepage"/>
        <w:spacing w:before="0" w:after="0" w:line="240" w:lineRule="auto"/>
      </w:pPr>
      <w:r>
        <w:rPr>
          <w:rStyle w:val="Appelnotedebasdep"/>
        </w:rPr>
        <w:footnoteRef/>
      </w:r>
      <w:r>
        <w:t xml:space="preserve"> </w:t>
      </w:r>
      <w:hyperlink r:id="rId19" w:history="1">
        <w:r w:rsidRPr="00122A52">
          <w:rPr>
            <w:rStyle w:val="Lienhypertexte"/>
          </w:rPr>
          <w:t>Guide sur les aspects sociaux de la commande publique</w:t>
        </w:r>
      </w:hyperlink>
      <w:r>
        <w:t>, pages 25 ou 57 par exemple.</w:t>
      </w:r>
    </w:p>
  </w:footnote>
  <w:footnote w:id="54">
    <w:p w14:paraId="0E89D588" w14:textId="1DD02683" w:rsidR="00ED00DB" w:rsidRDefault="00ED00DB" w:rsidP="00B96FD5">
      <w:pPr>
        <w:pStyle w:val="Notedebasdepage"/>
        <w:spacing w:before="0" w:after="0" w:line="240" w:lineRule="auto"/>
        <w:jc w:val="both"/>
        <w:rPr>
          <w:rFonts w:asciiTheme="majorHAnsi" w:hAnsiTheme="majorHAnsi" w:cstheme="majorBidi"/>
          <w:szCs w:val="22"/>
        </w:rPr>
      </w:pPr>
      <w:r>
        <w:rPr>
          <w:rStyle w:val="Appelnotedebasdep"/>
        </w:rPr>
        <w:footnoteRef/>
      </w:r>
      <w:r>
        <w:t xml:space="preserve"> </w:t>
      </w:r>
      <w:r>
        <w:rPr>
          <w:sz w:val="18"/>
          <w:szCs w:val="18"/>
        </w:rPr>
        <w:t xml:space="preserve">Ces clauses ne sont plus prévues par les textes (cf. ex-article 17 du décret n°2016-360) car de nature contractuelle. </w:t>
      </w:r>
    </w:p>
  </w:footnote>
  <w:footnote w:id="55">
    <w:p w14:paraId="332A8903" w14:textId="44FD188B" w:rsidR="00ED00DB" w:rsidRDefault="00ED00DB" w:rsidP="006245EE">
      <w:pPr>
        <w:pStyle w:val="Notedebasdepage"/>
        <w:spacing w:before="0" w:after="0" w:line="240" w:lineRule="auto"/>
        <w:jc w:val="both"/>
      </w:pPr>
      <w:r>
        <w:rPr>
          <w:rStyle w:val="Appelnotedebasdep"/>
        </w:rPr>
        <w:footnoteRef/>
      </w:r>
      <w:r>
        <w:t xml:space="preserve"> </w:t>
      </w:r>
      <w:r w:rsidRPr="0050464C">
        <w:rPr>
          <w:sz w:val="18"/>
        </w:rPr>
        <w:t>Le recours à des prix provisoires n’est possible que dans des cas précis</w:t>
      </w:r>
      <w:r>
        <w:rPr>
          <w:sz w:val="18"/>
        </w:rPr>
        <w:t>,</w:t>
      </w:r>
      <w:r w:rsidRPr="006245EE">
        <w:rPr>
          <w:sz w:val="18"/>
        </w:rPr>
        <w:t xml:space="preserve"> notamment pour des prestations complexes ou faisant appel à une technique nouvelle et présentant soit un caractère d'urgence impérieuse soit </w:t>
      </w:r>
      <w:r>
        <w:rPr>
          <w:sz w:val="18"/>
        </w:rPr>
        <w:t>des aléas techniques importants (</w:t>
      </w:r>
      <w:r w:rsidRPr="005D368F">
        <w:rPr>
          <w:sz w:val="18"/>
        </w:rPr>
        <w:t xml:space="preserve">article R2112-17 </w:t>
      </w:r>
      <w:r>
        <w:rPr>
          <w:sz w:val="18"/>
        </w:rPr>
        <w:t xml:space="preserve">du CCP). </w:t>
      </w:r>
    </w:p>
  </w:footnote>
  <w:footnote w:id="56">
    <w:p w14:paraId="4632454D" w14:textId="057F2FDD" w:rsidR="00ED00DB" w:rsidRDefault="00ED00DB" w:rsidP="000B3095">
      <w:pPr>
        <w:pStyle w:val="Notedebasdepage"/>
        <w:spacing w:before="0" w:after="0" w:line="240" w:lineRule="auto"/>
      </w:pPr>
      <w:r>
        <w:rPr>
          <w:rStyle w:val="Appelnotedebasdep"/>
        </w:rPr>
        <w:footnoteRef/>
      </w:r>
      <w:r>
        <w:t xml:space="preserve"> </w:t>
      </w:r>
      <w:r w:rsidRPr="00DA67E0">
        <w:rPr>
          <w:sz w:val="18"/>
        </w:rPr>
        <w:t>Article R</w:t>
      </w:r>
      <w:r>
        <w:rPr>
          <w:sz w:val="18"/>
        </w:rPr>
        <w:t>.</w:t>
      </w:r>
      <w:r w:rsidRPr="00DA67E0">
        <w:rPr>
          <w:sz w:val="18"/>
        </w:rPr>
        <w:t xml:space="preserve"> 2112-9 du CCP. </w:t>
      </w:r>
    </w:p>
  </w:footnote>
  <w:footnote w:id="57">
    <w:p w14:paraId="11996F45" w14:textId="77777777" w:rsidR="00ED00DB" w:rsidRDefault="00ED00DB" w:rsidP="000B3095">
      <w:pPr>
        <w:pStyle w:val="Notedebasdepage"/>
        <w:spacing w:before="0" w:after="0" w:line="240" w:lineRule="auto"/>
        <w:jc w:val="both"/>
      </w:pPr>
      <w:r>
        <w:rPr>
          <w:rStyle w:val="Appelnotedebasdep"/>
        </w:rPr>
        <w:footnoteRef/>
      </w:r>
      <w:r>
        <w:t xml:space="preserve"> </w:t>
      </w:r>
      <w:r w:rsidRPr="00DA67E0">
        <w:rPr>
          <w:sz w:val="18"/>
        </w:rPr>
        <w:t xml:space="preserve">Hors marchés à tranches conditionnelles pour lesquels l’actualisation est réalisée en tenant compte de la date d’exécution des prestations de chaque tranche et non de la date du marché. </w:t>
      </w:r>
    </w:p>
  </w:footnote>
  <w:footnote w:id="58">
    <w:p w14:paraId="464E6ACE" w14:textId="7B5BF1B8" w:rsidR="00ED00DB" w:rsidRPr="00DA67E0" w:rsidRDefault="00ED00DB" w:rsidP="003D5050">
      <w:pPr>
        <w:pStyle w:val="Notedebasdepage"/>
        <w:spacing w:before="0" w:after="0" w:line="240" w:lineRule="auto"/>
        <w:rPr>
          <w:sz w:val="18"/>
        </w:rPr>
      </w:pPr>
      <w:r>
        <w:rPr>
          <w:rStyle w:val="Appelnotedebasdep"/>
        </w:rPr>
        <w:footnoteRef/>
      </w:r>
      <w:r>
        <w:t xml:space="preserve"> </w:t>
      </w:r>
      <w:r w:rsidRPr="00DA67E0">
        <w:rPr>
          <w:sz w:val="18"/>
        </w:rPr>
        <w:t>Article R</w:t>
      </w:r>
      <w:r>
        <w:rPr>
          <w:sz w:val="18"/>
        </w:rPr>
        <w:t>.</w:t>
      </w:r>
      <w:r w:rsidRPr="00DA67E0">
        <w:rPr>
          <w:sz w:val="18"/>
        </w:rPr>
        <w:t xml:space="preserve"> 2112-13 du CCP.</w:t>
      </w:r>
    </w:p>
  </w:footnote>
  <w:footnote w:id="59">
    <w:p w14:paraId="20D7C04A" w14:textId="1EC8A53E" w:rsidR="00ED00DB" w:rsidRDefault="00ED00DB" w:rsidP="006353BB">
      <w:pPr>
        <w:pStyle w:val="Notedebasdepage"/>
        <w:spacing w:before="0" w:after="0" w:line="240" w:lineRule="auto"/>
        <w:jc w:val="both"/>
      </w:pPr>
      <w:r>
        <w:rPr>
          <w:rStyle w:val="Appelnotedebasdep"/>
        </w:rPr>
        <w:footnoteRef/>
      </w:r>
      <w:r>
        <w:t xml:space="preserve"> </w:t>
      </w:r>
      <w:r w:rsidRPr="006353BB">
        <w:rPr>
          <w:sz w:val="18"/>
        </w:rPr>
        <w:t>La loi interdit de sous-traiter l’intégralité d’un marché public. Il n'existe pas de seu</w:t>
      </w:r>
      <w:r>
        <w:rPr>
          <w:sz w:val="18"/>
        </w:rPr>
        <w:t xml:space="preserve">il précis pour déterminer si le </w:t>
      </w:r>
      <w:r w:rsidRPr="006353BB">
        <w:rPr>
          <w:sz w:val="18"/>
        </w:rPr>
        <w:t>pourcentage sous-traité est acceptable ou non. Il s’agit d’une appréciation au cas par cas selon les situations.</w:t>
      </w:r>
    </w:p>
  </w:footnote>
  <w:footnote w:id="60">
    <w:p w14:paraId="354A50ED" w14:textId="1BD180EE" w:rsidR="00ED00DB" w:rsidRDefault="00ED00DB" w:rsidP="000376DF">
      <w:pPr>
        <w:pStyle w:val="Notedebasdepage"/>
        <w:spacing w:before="0" w:after="0" w:line="240" w:lineRule="auto"/>
        <w:jc w:val="both"/>
      </w:pPr>
      <w:r>
        <w:rPr>
          <w:rStyle w:val="Appelnotedebasdep"/>
        </w:rPr>
        <w:footnoteRef/>
      </w:r>
      <w:r>
        <w:t xml:space="preserve"> </w:t>
      </w:r>
      <w:r w:rsidRPr="000376DF">
        <w:rPr>
          <w:sz w:val="18"/>
        </w:rPr>
        <w:t>Le formulaire DC4 peut aussi être utilisé pour la déclaration d’un sous-traitant de 2</w:t>
      </w:r>
      <w:r w:rsidRPr="000376DF">
        <w:rPr>
          <w:sz w:val="18"/>
          <w:vertAlign w:val="superscript"/>
        </w:rPr>
        <w:t>nd</w:t>
      </w:r>
      <w:r w:rsidRPr="000376DF">
        <w:rPr>
          <w:sz w:val="18"/>
        </w:rPr>
        <w:t xml:space="preserve"> rang, sous réserve de son adaptation par le sous-traitant de 1</w:t>
      </w:r>
      <w:r w:rsidRPr="000376DF">
        <w:rPr>
          <w:sz w:val="18"/>
          <w:vertAlign w:val="superscript"/>
        </w:rPr>
        <w:t>er</w:t>
      </w:r>
      <w:r w:rsidRPr="000376DF">
        <w:rPr>
          <w:sz w:val="18"/>
        </w:rPr>
        <w:t xml:space="preserve"> rang. La déclaration de sous-traitance devra alors être signée par le sous-traitant de 1er rang et par le sous-traitant de 2nd rang et être transmise au pouvoir adjudicateur.</w:t>
      </w:r>
    </w:p>
  </w:footnote>
  <w:footnote w:id="61">
    <w:p w14:paraId="2DBF3907" w14:textId="1D5889FF" w:rsidR="00ED00DB" w:rsidRDefault="00ED00DB" w:rsidP="00EF5614">
      <w:pPr>
        <w:pStyle w:val="Notedebasdepage"/>
        <w:spacing w:before="0" w:after="0" w:line="240" w:lineRule="auto"/>
      </w:pPr>
      <w:r>
        <w:rPr>
          <w:rStyle w:val="Appelnotedebasdep"/>
        </w:rPr>
        <w:footnoteRef/>
      </w:r>
      <w:r>
        <w:t xml:space="preserve"> </w:t>
      </w:r>
      <w:r w:rsidR="0096579D">
        <w:rPr>
          <w:sz w:val="18"/>
        </w:rPr>
        <w:t>Exemple dans le secteur du</w:t>
      </w:r>
      <w:r w:rsidRPr="000376DF">
        <w:rPr>
          <w:sz w:val="18"/>
        </w:rPr>
        <w:t xml:space="preserve"> </w:t>
      </w:r>
      <w:hyperlink r:id="rId20" w:history="1">
        <w:r w:rsidRPr="000376DF">
          <w:rPr>
            <w:rStyle w:val="Lienhypertexte"/>
            <w:sz w:val="18"/>
          </w:rPr>
          <w:t>BTP</w:t>
        </w:r>
      </w:hyperlink>
      <w:r w:rsidRPr="000376DF">
        <w:rPr>
          <w:sz w:val="18"/>
        </w:rPr>
        <w:t xml:space="preserve">. </w:t>
      </w:r>
    </w:p>
  </w:footnote>
  <w:footnote w:id="62">
    <w:p w14:paraId="0D6AB7AE" w14:textId="6188C692" w:rsidR="00ED00DB" w:rsidRDefault="00ED00DB" w:rsidP="00515A5B">
      <w:pPr>
        <w:pStyle w:val="Notedebasdepage"/>
        <w:spacing w:before="0" w:after="0" w:line="240" w:lineRule="auto"/>
      </w:pPr>
      <w:r>
        <w:rPr>
          <w:rStyle w:val="Appelnotedebasdep"/>
        </w:rPr>
        <w:footnoteRef/>
      </w:r>
      <w:r>
        <w:t xml:space="preserve"> </w:t>
      </w:r>
      <w:r w:rsidRPr="00515A5B">
        <w:rPr>
          <w:sz w:val="18"/>
        </w:rPr>
        <w:t xml:space="preserve">Article R2193-12 du CCP.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74E27" w14:textId="38B6F25F" w:rsidR="00ED00DB" w:rsidRDefault="0078769E">
    <w:pPr>
      <w:pStyle w:val="En-tte"/>
    </w:pPr>
    <w:r>
      <w:rPr>
        <w:noProof/>
      </w:rPr>
      <w:pict w14:anchorId="656397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753344" o:spid="_x0000_s2050" type="#_x0000_t136" style="position:absolute;margin-left:0;margin-top:0;width:426.35pt;height:213.15pt;rotation:315;z-index:-251655168;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67346" w14:textId="44BA6753" w:rsidR="00ED00DB" w:rsidRDefault="0078769E" w:rsidP="00B755EC">
    <w:pPr>
      <w:pStyle w:val="En-tte"/>
      <w:spacing w:before="0" w:after="0"/>
    </w:pPr>
    <w:r>
      <w:rPr>
        <w:noProof/>
      </w:rPr>
      <w:pict w14:anchorId="65C153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753345" o:spid="_x0000_s2051" type="#_x0000_t136" style="position:absolute;margin-left:0;margin-top:0;width:426.35pt;height:213.15pt;rotation:315;z-index:-251653120;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p w14:paraId="20F4A85A" w14:textId="396E5B35" w:rsidR="00ED00DB" w:rsidRPr="007604E4" w:rsidRDefault="00ED00DB" w:rsidP="007604E4">
    <w:pPr>
      <w:pStyle w:val="En-tte"/>
      <w:spacing w:before="0" w:after="0"/>
      <w:rPr>
        <w:sz w:val="18"/>
      </w:rPr>
    </w:pPr>
    <w:r w:rsidRPr="00FD6BF8">
      <w:rPr>
        <w:sz w:val="18"/>
      </w:rPr>
      <w:t>DAJ/OECP Guide de l’achat public innovan</w:t>
    </w:r>
    <w:r>
      <w:rPr>
        <w:sz w:val="18"/>
      </w:rPr>
      <w:t>t V1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AC019" w14:textId="4E79105E" w:rsidR="00ED00DB" w:rsidRDefault="00ED00DB" w:rsidP="00B44539">
    <w:pPr>
      <w:pStyle w:val="En-tte"/>
      <w:jc w:val="center"/>
    </w:pPr>
    <w:r w:rsidRPr="00B44539">
      <w:rPr>
        <w:noProof/>
        <w:lang w:eastAsia="fr-FR"/>
      </w:rPr>
      <w:drawing>
        <wp:inline distT="0" distB="0" distL="0" distR="0" wp14:anchorId="1575D532" wp14:editId="293E4E24">
          <wp:extent cx="1385898" cy="1399540"/>
          <wp:effectExtent l="0" t="0" r="5080" b="0"/>
          <wp:docPr id="1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0" name="Imag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2665" cy="1406373"/>
                  </a:xfrm>
                  <a:prstGeom prst="rect">
                    <a:avLst/>
                  </a:prstGeom>
                  <a:noFill/>
                  <a:ln>
                    <a:noFill/>
                  </a:ln>
                  <a:extLst/>
                </pic:spPr>
              </pic:pic>
            </a:graphicData>
          </a:graphic>
        </wp:inline>
      </w:drawing>
    </w:r>
    <w:r w:rsidR="0078769E">
      <w:rPr>
        <w:noProof/>
      </w:rPr>
      <w:pict w14:anchorId="31C171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753343" o:spid="_x0000_s2049" type="#_x0000_t136" style="position:absolute;left:0;text-align:left;margin-left:0;margin-top:0;width:426.35pt;height:213.15pt;rotation:315;z-index:-251657216;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E26B8" w14:textId="747EEDA3" w:rsidR="00ED00DB" w:rsidRDefault="0078769E">
    <w:pPr>
      <w:pStyle w:val="En-tte"/>
    </w:pPr>
    <w:r>
      <w:rPr>
        <w:noProof/>
      </w:rPr>
      <w:pict w14:anchorId="6F0381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753347" o:spid="_x0000_s2053" type="#_x0000_t136" style="position:absolute;margin-left:0;margin-top:0;width:426.35pt;height:213.15pt;rotation:315;z-index:-251649024;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CFBFF" w14:textId="33843957" w:rsidR="00ED00DB" w:rsidRDefault="0078769E" w:rsidP="00B755EC">
    <w:pPr>
      <w:pStyle w:val="En-tte"/>
      <w:spacing w:before="0" w:after="0"/>
    </w:pPr>
    <w:r>
      <w:rPr>
        <w:noProof/>
      </w:rPr>
      <w:pict w14:anchorId="5A596B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753348" o:spid="_x0000_s2054" type="#_x0000_t136" style="position:absolute;margin-left:0;margin-top:0;width:426.35pt;height:213.15pt;rotation:315;z-index:-251646976;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p w14:paraId="22DC3EF4" w14:textId="20E0DFA3" w:rsidR="00ED00DB" w:rsidRPr="007604E4" w:rsidRDefault="00ED00DB" w:rsidP="007604E4">
    <w:pPr>
      <w:pStyle w:val="En-tte"/>
      <w:spacing w:before="0" w:after="0"/>
      <w:rPr>
        <w:sz w:val="18"/>
      </w:rPr>
    </w:pPr>
    <w:r w:rsidRPr="00FD6BF8">
      <w:rPr>
        <w:sz w:val="18"/>
      </w:rPr>
      <w:t xml:space="preserve">DAJ/OECP Guide </w:t>
    </w:r>
    <w:r>
      <w:rPr>
        <w:sz w:val="18"/>
      </w:rPr>
      <w:t>pratique « faciliter l’accès des TPE/PME à la commande publique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C7D80" w14:textId="3ED853A5" w:rsidR="00ED00DB" w:rsidRDefault="0078769E">
    <w:pPr>
      <w:pStyle w:val="En-tte"/>
    </w:pPr>
    <w:r>
      <w:rPr>
        <w:noProof/>
      </w:rPr>
      <w:pict w14:anchorId="0B405A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753346" o:spid="_x0000_s2052" type="#_x0000_t136" style="position:absolute;margin-left:0;margin-top:0;width:426.35pt;height:213.15pt;rotation:315;z-index:-251651072;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FBFD2BF"/>
    <w:multiLevelType w:val="hybridMultilevel"/>
    <w:tmpl w:val="0E2996F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80319E5"/>
    <w:multiLevelType w:val="hybridMultilevel"/>
    <w:tmpl w:val="6D29906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613738"/>
    <w:multiLevelType w:val="hybridMultilevel"/>
    <w:tmpl w:val="D3227E82"/>
    <w:lvl w:ilvl="0" w:tplc="2662F69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BA19AD"/>
    <w:multiLevelType w:val="hybridMultilevel"/>
    <w:tmpl w:val="49584B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FB2023"/>
    <w:multiLevelType w:val="hybridMultilevel"/>
    <w:tmpl w:val="D13C9B44"/>
    <w:lvl w:ilvl="0" w:tplc="F2322B70">
      <w:numFmt w:val="bullet"/>
      <w:lvlText w:val="-"/>
      <w:lvlJc w:val="left"/>
      <w:pPr>
        <w:ind w:left="720" w:hanging="360"/>
      </w:pPr>
      <w:rPr>
        <w:rFonts w:ascii="Cambria" w:eastAsia="Times New Roman" w:hAnsi="Cambria"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6CB4A35"/>
    <w:multiLevelType w:val="hybridMultilevel"/>
    <w:tmpl w:val="1DB0562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6D95577"/>
    <w:multiLevelType w:val="hybridMultilevel"/>
    <w:tmpl w:val="E752F3C2"/>
    <w:lvl w:ilvl="0" w:tplc="A75C1A8A">
      <w:numFmt w:val="bullet"/>
      <w:lvlText w:val="-"/>
      <w:lvlJc w:val="left"/>
      <w:pPr>
        <w:ind w:left="720" w:hanging="360"/>
      </w:pPr>
      <w:rPr>
        <w:rFonts w:ascii="Cambria" w:eastAsiaTheme="majorEastAsia" w:hAnsi="Cambria"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74E5D8C"/>
    <w:multiLevelType w:val="hybridMultilevel"/>
    <w:tmpl w:val="162AC2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8740216"/>
    <w:multiLevelType w:val="hybridMultilevel"/>
    <w:tmpl w:val="B2B08F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B6C54F8"/>
    <w:multiLevelType w:val="hybridMultilevel"/>
    <w:tmpl w:val="CBBA20E8"/>
    <w:lvl w:ilvl="0" w:tplc="858A624C">
      <w:numFmt w:val="bullet"/>
      <w:lvlText w:val="-"/>
      <w:lvlJc w:val="left"/>
      <w:pPr>
        <w:ind w:left="720" w:hanging="360"/>
      </w:pPr>
      <w:rPr>
        <w:rFonts w:ascii="Cambria" w:eastAsia="Times New Roman" w:hAnsi="Cambri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06A635D"/>
    <w:multiLevelType w:val="hybridMultilevel"/>
    <w:tmpl w:val="2460C708"/>
    <w:lvl w:ilvl="0" w:tplc="A25412A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119205F"/>
    <w:multiLevelType w:val="hybridMultilevel"/>
    <w:tmpl w:val="15BC26F0"/>
    <w:lvl w:ilvl="0" w:tplc="5D120F30">
      <w:numFmt w:val="bullet"/>
      <w:lvlText w:val="-"/>
      <w:lvlJc w:val="left"/>
      <w:pPr>
        <w:ind w:left="1353" w:hanging="360"/>
      </w:pPr>
      <w:rPr>
        <w:rFonts w:ascii="Calibri" w:eastAsiaTheme="minorHAnsi" w:hAnsi="Calibri" w:cs="Calibri"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12" w15:restartNumberingAfterBreak="0">
    <w:nsid w:val="14DC74C4"/>
    <w:multiLevelType w:val="hybridMultilevel"/>
    <w:tmpl w:val="C2C45FF4"/>
    <w:lvl w:ilvl="0" w:tplc="2662F69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57862FB"/>
    <w:multiLevelType w:val="hybridMultilevel"/>
    <w:tmpl w:val="0BF40D4C"/>
    <w:lvl w:ilvl="0" w:tplc="7834085C">
      <w:start w:val="1"/>
      <w:numFmt w:val="bullet"/>
      <w:lvlText w:val="-"/>
      <w:lvlJc w:val="left"/>
      <w:pPr>
        <w:ind w:left="763" w:hanging="360"/>
      </w:pPr>
      <w:rPr>
        <w:rFonts w:ascii="Courier New" w:hAnsi="Courier New" w:hint="default"/>
      </w:rPr>
    </w:lvl>
    <w:lvl w:ilvl="1" w:tplc="040C0003" w:tentative="1">
      <w:start w:val="1"/>
      <w:numFmt w:val="bullet"/>
      <w:lvlText w:val="o"/>
      <w:lvlJc w:val="left"/>
      <w:pPr>
        <w:ind w:left="1483" w:hanging="360"/>
      </w:pPr>
      <w:rPr>
        <w:rFonts w:ascii="Courier New" w:hAnsi="Courier New" w:cs="Courier New" w:hint="default"/>
      </w:rPr>
    </w:lvl>
    <w:lvl w:ilvl="2" w:tplc="040C0005" w:tentative="1">
      <w:start w:val="1"/>
      <w:numFmt w:val="bullet"/>
      <w:lvlText w:val=""/>
      <w:lvlJc w:val="left"/>
      <w:pPr>
        <w:ind w:left="2203" w:hanging="360"/>
      </w:pPr>
      <w:rPr>
        <w:rFonts w:ascii="Wingdings" w:hAnsi="Wingdings" w:hint="default"/>
      </w:rPr>
    </w:lvl>
    <w:lvl w:ilvl="3" w:tplc="040C0001" w:tentative="1">
      <w:start w:val="1"/>
      <w:numFmt w:val="bullet"/>
      <w:lvlText w:val=""/>
      <w:lvlJc w:val="left"/>
      <w:pPr>
        <w:ind w:left="2923" w:hanging="360"/>
      </w:pPr>
      <w:rPr>
        <w:rFonts w:ascii="Symbol" w:hAnsi="Symbol" w:hint="default"/>
      </w:rPr>
    </w:lvl>
    <w:lvl w:ilvl="4" w:tplc="040C0003" w:tentative="1">
      <w:start w:val="1"/>
      <w:numFmt w:val="bullet"/>
      <w:lvlText w:val="o"/>
      <w:lvlJc w:val="left"/>
      <w:pPr>
        <w:ind w:left="3643" w:hanging="360"/>
      </w:pPr>
      <w:rPr>
        <w:rFonts w:ascii="Courier New" w:hAnsi="Courier New" w:cs="Courier New" w:hint="default"/>
      </w:rPr>
    </w:lvl>
    <w:lvl w:ilvl="5" w:tplc="040C0005" w:tentative="1">
      <w:start w:val="1"/>
      <w:numFmt w:val="bullet"/>
      <w:lvlText w:val=""/>
      <w:lvlJc w:val="left"/>
      <w:pPr>
        <w:ind w:left="4363" w:hanging="360"/>
      </w:pPr>
      <w:rPr>
        <w:rFonts w:ascii="Wingdings" w:hAnsi="Wingdings" w:hint="default"/>
      </w:rPr>
    </w:lvl>
    <w:lvl w:ilvl="6" w:tplc="040C0001" w:tentative="1">
      <w:start w:val="1"/>
      <w:numFmt w:val="bullet"/>
      <w:lvlText w:val=""/>
      <w:lvlJc w:val="left"/>
      <w:pPr>
        <w:ind w:left="5083" w:hanging="360"/>
      </w:pPr>
      <w:rPr>
        <w:rFonts w:ascii="Symbol" w:hAnsi="Symbol" w:hint="default"/>
      </w:rPr>
    </w:lvl>
    <w:lvl w:ilvl="7" w:tplc="040C0003" w:tentative="1">
      <w:start w:val="1"/>
      <w:numFmt w:val="bullet"/>
      <w:lvlText w:val="o"/>
      <w:lvlJc w:val="left"/>
      <w:pPr>
        <w:ind w:left="5803" w:hanging="360"/>
      </w:pPr>
      <w:rPr>
        <w:rFonts w:ascii="Courier New" w:hAnsi="Courier New" w:cs="Courier New" w:hint="default"/>
      </w:rPr>
    </w:lvl>
    <w:lvl w:ilvl="8" w:tplc="040C0005" w:tentative="1">
      <w:start w:val="1"/>
      <w:numFmt w:val="bullet"/>
      <w:lvlText w:val=""/>
      <w:lvlJc w:val="left"/>
      <w:pPr>
        <w:ind w:left="6523" w:hanging="360"/>
      </w:pPr>
      <w:rPr>
        <w:rFonts w:ascii="Wingdings" w:hAnsi="Wingdings" w:hint="default"/>
      </w:rPr>
    </w:lvl>
  </w:abstractNum>
  <w:abstractNum w:abstractNumId="14" w15:restartNumberingAfterBreak="0">
    <w:nsid w:val="15C14915"/>
    <w:multiLevelType w:val="hybridMultilevel"/>
    <w:tmpl w:val="EF28903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69E54E6"/>
    <w:multiLevelType w:val="hybridMultilevel"/>
    <w:tmpl w:val="A73C24C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A6E34A3"/>
    <w:multiLevelType w:val="hybridMultilevel"/>
    <w:tmpl w:val="ACC47A10"/>
    <w:lvl w:ilvl="0" w:tplc="515CB996">
      <w:start w:val="2"/>
      <w:numFmt w:val="bullet"/>
      <w:lvlText w:val="-"/>
      <w:lvlJc w:val="left"/>
      <w:pPr>
        <w:ind w:left="786" w:hanging="360"/>
      </w:pPr>
      <w:rPr>
        <w:rFonts w:ascii="Cambria" w:eastAsiaTheme="majorEastAsia" w:hAnsi="Cambria" w:cstheme="majorBidi" w:hint="default"/>
        <w:color w:val="auto"/>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17" w15:restartNumberingAfterBreak="0">
    <w:nsid w:val="25212140"/>
    <w:multiLevelType w:val="hybridMultilevel"/>
    <w:tmpl w:val="96A6E930"/>
    <w:lvl w:ilvl="0" w:tplc="5A90D4B2">
      <w:numFmt w:val="bullet"/>
      <w:lvlText w:val="-"/>
      <w:lvlJc w:val="left"/>
      <w:pPr>
        <w:ind w:left="720" w:hanging="360"/>
      </w:pPr>
      <w:rPr>
        <w:rFonts w:ascii="Cambria" w:eastAsiaTheme="majorEastAsia" w:hAnsi="Cambria" w:cstheme="majorBidi"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5B70DDD"/>
    <w:multiLevelType w:val="hybridMultilevel"/>
    <w:tmpl w:val="F70E89D4"/>
    <w:lvl w:ilvl="0" w:tplc="2662F69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8447646"/>
    <w:multiLevelType w:val="hybridMultilevel"/>
    <w:tmpl w:val="13A85ECC"/>
    <w:lvl w:ilvl="0" w:tplc="2662F69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E02407E"/>
    <w:multiLevelType w:val="hybridMultilevel"/>
    <w:tmpl w:val="C44058C0"/>
    <w:lvl w:ilvl="0" w:tplc="2662F696">
      <w:start w:val="1"/>
      <w:numFmt w:val="bullet"/>
      <w:lvlText w:val=""/>
      <w:lvlJc w:val="left"/>
      <w:pPr>
        <w:ind w:left="763" w:hanging="360"/>
      </w:pPr>
      <w:rPr>
        <w:rFonts w:ascii="Wingdings" w:hAnsi="Wingdings" w:hint="default"/>
      </w:rPr>
    </w:lvl>
    <w:lvl w:ilvl="1" w:tplc="040C0003" w:tentative="1">
      <w:start w:val="1"/>
      <w:numFmt w:val="bullet"/>
      <w:lvlText w:val="o"/>
      <w:lvlJc w:val="left"/>
      <w:pPr>
        <w:ind w:left="1483" w:hanging="360"/>
      </w:pPr>
      <w:rPr>
        <w:rFonts w:ascii="Courier New" w:hAnsi="Courier New" w:cs="Courier New" w:hint="default"/>
      </w:rPr>
    </w:lvl>
    <w:lvl w:ilvl="2" w:tplc="040C0005" w:tentative="1">
      <w:start w:val="1"/>
      <w:numFmt w:val="bullet"/>
      <w:lvlText w:val=""/>
      <w:lvlJc w:val="left"/>
      <w:pPr>
        <w:ind w:left="2203" w:hanging="360"/>
      </w:pPr>
      <w:rPr>
        <w:rFonts w:ascii="Wingdings" w:hAnsi="Wingdings" w:hint="default"/>
      </w:rPr>
    </w:lvl>
    <w:lvl w:ilvl="3" w:tplc="040C0001" w:tentative="1">
      <w:start w:val="1"/>
      <w:numFmt w:val="bullet"/>
      <w:lvlText w:val=""/>
      <w:lvlJc w:val="left"/>
      <w:pPr>
        <w:ind w:left="2923" w:hanging="360"/>
      </w:pPr>
      <w:rPr>
        <w:rFonts w:ascii="Symbol" w:hAnsi="Symbol" w:hint="default"/>
      </w:rPr>
    </w:lvl>
    <w:lvl w:ilvl="4" w:tplc="040C0003" w:tentative="1">
      <w:start w:val="1"/>
      <w:numFmt w:val="bullet"/>
      <w:lvlText w:val="o"/>
      <w:lvlJc w:val="left"/>
      <w:pPr>
        <w:ind w:left="3643" w:hanging="360"/>
      </w:pPr>
      <w:rPr>
        <w:rFonts w:ascii="Courier New" w:hAnsi="Courier New" w:cs="Courier New" w:hint="default"/>
      </w:rPr>
    </w:lvl>
    <w:lvl w:ilvl="5" w:tplc="040C0005" w:tentative="1">
      <w:start w:val="1"/>
      <w:numFmt w:val="bullet"/>
      <w:lvlText w:val=""/>
      <w:lvlJc w:val="left"/>
      <w:pPr>
        <w:ind w:left="4363" w:hanging="360"/>
      </w:pPr>
      <w:rPr>
        <w:rFonts w:ascii="Wingdings" w:hAnsi="Wingdings" w:hint="default"/>
      </w:rPr>
    </w:lvl>
    <w:lvl w:ilvl="6" w:tplc="040C0001" w:tentative="1">
      <w:start w:val="1"/>
      <w:numFmt w:val="bullet"/>
      <w:lvlText w:val=""/>
      <w:lvlJc w:val="left"/>
      <w:pPr>
        <w:ind w:left="5083" w:hanging="360"/>
      </w:pPr>
      <w:rPr>
        <w:rFonts w:ascii="Symbol" w:hAnsi="Symbol" w:hint="default"/>
      </w:rPr>
    </w:lvl>
    <w:lvl w:ilvl="7" w:tplc="040C0003" w:tentative="1">
      <w:start w:val="1"/>
      <w:numFmt w:val="bullet"/>
      <w:lvlText w:val="o"/>
      <w:lvlJc w:val="left"/>
      <w:pPr>
        <w:ind w:left="5803" w:hanging="360"/>
      </w:pPr>
      <w:rPr>
        <w:rFonts w:ascii="Courier New" w:hAnsi="Courier New" w:cs="Courier New" w:hint="default"/>
      </w:rPr>
    </w:lvl>
    <w:lvl w:ilvl="8" w:tplc="040C0005" w:tentative="1">
      <w:start w:val="1"/>
      <w:numFmt w:val="bullet"/>
      <w:lvlText w:val=""/>
      <w:lvlJc w:val="left"/>
      <w:pPr>
        <w:ind w:left="6523" w:hanging="360"/>
      </w:pPr>
      <w:rPr>
        <w:rFonts w:ascii="Wingdings" w:hAnsi="Wingdings" w:hint="default"/>
      </w:rPr>
    </w:lvl>
  </w:abstractNum>
  <w:abstractNum w:abstractNumId="21" w15:restartNumberingAfterBreak="0">
    <w:nsid w:val="2F772F64"/>
    <w:multiLevelType w:val="hybridMultilevel"/>
    <w:tmpl w:val="830CDD26"/>
    <w:lvl w:ilvl="0" w:tplc="7834085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1845112"/>
    <w:multiLevelType w:val="hybridMultilevel"/>
    <w:tmpl w:val="F364D1C4"/>
    <w:lvl w:ilvl="0" w:tplc="2662F69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5DD0BB5"/>
    <w:multiLevelType w:val="hybridMultilevel"/>
    <w:tmpl w:val="9174AEEC"/>
    <w:lvl w:ilvl="0" w:tplc="2E361BFA">
      <w:start w:val="1"/>
      <w:numFmt w:val="bullet"/>
      <w:lvlText w:val="-"/>
      <w:lvlJc w:val="left"/>
      <w:pPr>
        <w:tabs>
          <w:tab w:val="num" w:pos="720"/>
        </w:tabs>
        <w:ind w:left="720" w:hanging="360"/>
      </w:pPr>
      <w:rPr>
        <w:rFonts w:ascii="Times New Roman" w:hAnsi="Times New Roman" w:hint="default"/>
      </w:rPr>
    </w:lvl>
    <w:lvl w:ilvl="1" w:tplc="AA46F0A0" w:tentative="1">
      <w:start w:val="1"/>
      <w:numFmt w:val="bullet"/>
      <w:lvlText w:val="-"/>
      <w:lvlJc w:val="left"/>
      <w:pPr>
        <w:tabs>
          <w:tab w:val="num" w:pos="1440"/>
        </w:tabs>
        <w:ind w:left="1440" w:hanging="360"/>
      </w:pPr>
      <w:rPr>
        <w:rFonts w:ascii="Times New Roman" w:hAnsi="Times New Roman" w:hint="default"/>
      </w:rPr>
    </w:lvl>
    <w:lvl w:ilvl="2" w:tplc="CABE7F2C" w:tentative="1">
      <w:start w:val="1"/>
      <w:numFmt w:val="bullet"/>
      <w:lvlText w:val="-"/>
      <w:lvlJc w:val="left"/>
      <w:pPr>
        <w:tabs>
          <w:tab w:val="num" w:pos="2160"/>
        </w:tabs>
        <w:ind w:left="2160" w:hanging="360"/>
      </w:pPr>
      <w:rPr>
        <w:rFonts w:ascii="Times New Roman" w:hAnsi="Times New Roman" w:hint="default"/>
      </w:rPr>
    </w:lvl>
    <w:lvl w:ilvl="3" w:tplc="1AB878CC" w:tentative="1">
      <w:start w:val="1"/>
      <w:numFmt w:val="bullet"/>
      <w:lvlText w:val="-"/>
      <w:lvlJc w:val="left"/>
      <w:pPr>
        <w:tabs>
          <w:tab w:val="num" w:pos="2880"/>
        </w:tabs>
        <w:ind w:left="2880" w:hanging="360"/>
      </w:pPr>
      <w:rPr>
        <w:rFonts w:ascii="Times New Roman" w:hAnsi="Times New Roman" w:hint="default"/>
      </w:rPr>
    </w:lvl>
    <w:lvl w:ilvl="4" w:tplc="87E619B6" w:tentative="1">
      <w:start w:val="1"/>
      <w:numFmt w:val="bullet"/>
      <w:lvlText w:val="-"/>
      <w:lvlJc w:val="left"/>
      <w:pPr>
        <w:tabs>
          <w:tab w:val="num" w:pos="3600"/>
        </w:tabs>
        <w:ind w:left="3600" w:hanging="360"/>
      </w:pPr>
      <w:rPr>
        <w:rFonts w:ascii="Times New Roman" w:hAnsi="Times New Roman" w:hint="default"/>
      </w:rPr>
    </w:lvl>
    <w:lvl w:ilvl="5" w:tplc="A444529A" w:tentative="1">
      <w:start w:val="1"/>
      <w:numFmt w:val="bullet"/>
      <w:lvlText w:val="-"/>
      <w:lvlJc w:val="left"/>
      <w:pPr>
        <w:tabs>
          <w:tab w:val="num" w:pos="4320"/>
        </w:tabs>
        <w:ind w:left="4320" w:hanging="360"/>
      </w:pPr>
      <w:rPr>
        <w:rFonts w:ascii="Times New Roman" w:hAnsi="Times New Roman" w:hint="default"/>
      </w:rPr>
    </w:lvl>
    <w:lvl w:ilvl="6" w:tplc="76B6C63A" w:tentative="1">
      <w:start w:val="1"/>
      <w:numFmt w:val="bullet"/>
      <w:lvlText w:val="-"/>
      <w:lvlJc w:val="left"/>
      <w:pPr>
        <w:tabs>
          <w:tab w:val="num" w:pos="5040"/>
        </w:tabs>
        <w:ind w:left="5040" w:hanging="360"/>
      </w:pPr>
      <w:rPr>
        <w:rFonts w:ascii="Times New Roman" w:hAnsi="Times New Roman" w:hint="default"/>
      </w:rPr>
    </w:lvl>
    <w:lvl w:ilvl="7" w:tplc="1F125700" w:tentative="1">
      <w:start w:val="1"/>
      <w:numFmt w:val="bullet"/>
      <w:lvlText w:val="-"/>
      <w:lvlJc w:val="left"/>
      <w:pPr>
        <w:tabs>
          <w:tab w:val="num" w:pos="5760"/>
        </w:tabs>
        <w:ind w:left="5760" w:hanging="360"/>
      </w:pPr>
      <w:rPr>
        <w:rFonts w:ascii="Times New Roman" w:hAnsi="Times New Roman" w:hint="default"/>
      </w:rPr>
    </w:lvl>
    <w:lvl w:ilvl="8" w:tplc="FD08CCCA"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80270BA"/>
    <w:multiLevelType w:val="hybridMultilevel"/>
    <w:tmpl w:val="BFB29DA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A784332"/>
    <w:multiLevelType w:val="hybridMultilevel"/>
    <w:tmpl w:val="D428B4AE"/>
    <w:lvl w:ilvl="0" w:tplc="0F02FA8A">
      <w:start w:val="1"/>
      <w:numFmt w:val="decimal"/>
      <w:lvlText w:val="%1."/>
      <w:lvlJc w:val="left"/>
      <w:pPr>
        <w:ind w:left="720" w:hanging="360"/>
      </w:pPr>
      <w:rPr>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D34420D"/>
    <w:multiLevelType w:val="hybridMultilevel"/>
    <w:tmpl w:val="AEFA25A4"/>
    <w:lvl w:ilvl="0" w:tplc="5A54D6E6">
      <w:start w:val="1"/>
      <w:numFmt w:val="lowerLetter"/>
      <w:lvlText w:val="%1)"/>
      <w:lvlJc w:val="left"/>
      <w:pPr>
        <w:ind w:left="720" w:hanging="360"/>
      </w:pPr>
      <w:rPr>
        <w:b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7" w15:restartNumberingAfterBreak="0">
    <w:nsid w:val="3EED3A80"/>
    <w:multiLevelType w:val="hybridMultilevel"/>
    <w:tmpl w:val="D04A1F04"/>
    <w:lvl w:ilvl="0" w:tplc="2662F69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02628F4"/>
    <w:multiLevelType w:val="hybridMultilevel"/>
    <w:tmpl w:val="E01C4D36"/>
    <w:lvl w:ilvl="0" w:tplc="B09A96E2">
      <w:numFmt w:val="bullet"/>
      <w:lvlText w:val="-"/>
      <w:lvlJc w:val="left"/>
      <w:pPr>
        <w:ind w:left="786" w:hanging="360"/>
      </w:pPr>
      <w:rPr>
        <w:rFonts w:ascii="Cambria" w:eastAsia="MS Minngs" w:hAnsi="Cambria"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9" w15:restartNumberingAfterBreak="0">
    <w:nsid w:val="42085DBD"/>
    <w:multiLevelType w:val="hybridMultilevel"/>
    <w:tmpl w:val="34B434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7001C52"/>
    <w:multiLevelType w:val="hybridMultilevel"/>
    <w:tmpl w:val="3412E546"/>
    <w:lvl w:ilvl="0" w:tplc="5A1674B4">
      <w:numFmt w:val="bullet"/>
      <w:lvlText w:val="-"/>
      <w:lvlJc w:val="left"/>
      <w:pPr>
        <w:ind w:left="1146" w:hanging="360"/>
      </w:pPr>
      <w:rPr>
        <w:rFonts w:ascii="Calibri" w:eastAsiaTheme="minorHAnsi" w:hAnsi="Calibri" w:cs="Calibri"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1" w15:restartNumberingAfterBreak="0">
    <w:nsid w:val="47E85547"/>
    <w:multiLevelType w:val="hybridMultilevel"/>
    <w:tmpl w:val="A6E08E3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B7637BB"/>
    <w:multiLevelType w:val="hybridMultilevel"/>
    <w:tmpl w:val="895C08F2"/>
    <w:lvl w:ilvl="0" w:tplc="A75C1A8A">
      <w:numFmt w:val="bullet"/>
      <w:lvlText w:val="-"/>
      <w:lvlJc w:val="left"/>
      <w:pPr>
        <w:ind w:left="720" w:hanging="360"/>
      </w:pPr>
      <w:rPr>
        <w:rFonts w:ascii="Cambria" w:eastAsiaTheme="majorEastAsia" w:hAnsi="Cambria" w:cstheme="maj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E514BCE"/>
    <w:multiLevelType w:val="hybridMultilevel"/>
    <w:tmpl w:val="E52E99FC"/>
    <w:lvl w:ilvl="0" w:tplc="5A90D4B2">
      <w:numFmt w:val="bullet"/>
      <w:lvlText w:val="-"/>
      <w:lvlJc w:val="left"/>
      <w:pPr>
        <w:ind w:left="720" w:hanging="360"/>
      </w:pPr>
      <w:rPr>
        <w:rFonts w:ascii="Cambria" w:eastAsiaTheme="majorEastAsia" w:hAnsi="Cambria" w:cstheme="majorBidi"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256677E"/>
    <w:multiLevelType w:val="hybridMultilevel"/>
    <w:tmpl w:val="C6F41C5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F5B6FAD"/>
    <w:multiLevelType w:val="hybridMultilevel"/>
    <w:tmpl w:val="2B1058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FEF204D"/>
    <w:multiLevelType w:val="hybridMultilevel"/>
    <w:tmpl w:val="3CC49588"/>
    <w:lvl w:ilvl="0" w:tplc="2662F69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107107E"/>
    <w:multiLevelType w:val="hybridMultilevel"/>
    <w:tmpl w:val="74E27EEA"/>
    <w:lvl w:ilvl="0" w:tplc="90849C08">
      <w:start w:val="1"/>
      <w:numFmt w:val="bullet"/>
      <w:lvlText w:val="-"/>
      <w:lvlJc w:val="left"/>
      <w:pPr>
        <w:ind w:left="1428" w:hanging="360"/>
      </w:pPr>
      <w:rPr>
        <w:rFonts w:ascii="Calibri" w:eastAsia="Calibri" w:hAnsi="Calibri" w:cs="Calibr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8" w15:restartNumberingAfterBreak="0">
    <w:nsid w:val="62F92DC8"/>
    <w:multiLevelType w:val="hybridMultilevel"/>
    <w:tmpl w:val="057A9B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6F803C8"/>
    <w:multiLevelType w:val="hybridMultilevel"/>
    <w:tmpl w:val="2A64AF52"/>
    <w:lvl w:ilvl="0" w:tplc="62026132">
      <w:numFmt w:val="bullet"/>
      <w:lvlText w:val="-"/>
      <w:lvlJc w:val="left"/>
      <w:pPr>
        <w:ind w:left="720" w:hanging="360"/>
      </w:pPr>
      <w:rPr>
        <w:rFonts w:ascii="Cambria" w:eastAsiaTheme="majorEastAsia" w:hAnsi="Cambria" w:cstheme="maj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0" w15:restartNumberingAfterBreak="0">
    <w:nsid w:val="68A551A0"/>
    <w:multiLevelType w:val="hybridMultilevel"/>
    <w:tmpl w:val="599ABE4E"/>
    <w:lvl w:ilvl="0" w:tplc="5A90D4B2">
      <w:numFmt w:val="bullet"/>
      <w:lvlText w:val="-"/>
      <w:lvlJc w:val="left"/>
      <w:pPr>
        <w:ind w:left="694" w:hanging="360"/>
      </w:pPr>
      <w:rPr>
        <w:rFonts w:ascii="Cambria" w:eastAsiaTheme="majorEastAsia" w:hAnsi="Cambria" w:cstheme="majorBidi" w:hint="default"/>
        <w:b w:val="0"/>
        <w:color w:val="auto"/>
      </w:rPr>
    </w:lvl>
    <w:lvl w:ilvl="1" w:tplc="040C0003">
      <w:start w:val="1"/>
      <w:numFmt w:val="bullet"/>
      <w:lvlText w:val="o"/>
      <w:lvlJc w:val="left"/>
      <w:pPr>
        <w:ind w:left="1414" w:hanging="360"/>
      </w:pPr>
      <w:rPr>
        <w:rFonts w:ascii="Courier New" w:hAnsi="Courier New" w:cs="Courier New" w:hint="default"/>
      </w:rPr>
    </w:lvl>
    <w:lvl w:ilvl="2" w:tplc="040C0005">
      <w:start w:val="1"/>
      <w:numFmt w:val="bullet"/>
      <w:lvlText w:val=""/>
      <w:lvlJc w:val="left"/>
      <w:pPr>
        <w:ind w:left="2134" w:hanging="360"/>
      </w:pPr>
      <w:rPr>
        <w:rFonts w:ascii="Wingdings" w:hAnsi="Wingdings" w:hint="default"/>
      </w:rPr>
    </w:lvl>
    <w:lvl w:ilvl="3" w:tplc="040C0001" w:tentative="1">
      <w:start w:val="1"/>
      <w:numFmt w:val="bullet"/>
      <w:lvlText w:val=""/>
      <w:lvlJc w:val="left"/>
      <w:pPr>
        <w:ind w:left="2854" w:hanging="360"/>
      </w:pPr>
      <w:rPr>
        <w:rFonts w:ascii="Symbol" w:hAnsi="Symbol" w:hint="default"/>
      </w:rPr>
    </w:lvl>
    <w:lvl w:ilvl="4" w:tplc="040C0003" w:tentative="1">
      <w:start w:val="1"/>
      <w:numFmt w:val="bullet"/>
      <w:lvlText w:val="o"/>
      <w:lvlJc w:val="left"/>
      <w:pPr>
        <w:ind w:left="3574" w:hanging="360"/>
      </w:pPr>
      <w:rPr>
        <w:rFonts w:ascii="Courier New" w:hAnsi="Courier New" w:cs="Courier New" w:hint="default"/>
      </w:rPr>
    </w:lvl>
    <w:lvl w:ilvl="5" w:tplc="040C0005" w:tentative="1">
      <w:start w:val="1"/>
      <w:numFmt w:val="bullet"/>
      <w:lvlText w:val=""/>
      <w:lvlJc w:val="left"/>
      <w:pPr>
        <w:ind w:left="4294" w:hanging="360"/>
      </w:pPr>
      <w:rPr>
        <w:rFonts w:ascii="Wingdings" w:hAnsi="Wingdings" w:hint="default"/>
      </w:rPr>
    </w:lvl>
    <w:lvl w:ilvl="6" w:tplc="040C0001" w:tentative="1">
      <w:start w:val="1"/>
      <w:numFmt w:val="bullet"/>
      <w:lvlText w:val=""/>
      <w:lvlJc w:val="left"/>
      <w:pPr>
        <w:ind w:left="5014" w:hanging="360"/>
      </w:pPr>
      <w:rPr>
        <w:rFonts w:ascii="Symbol" w:hAnsi="Symbol" w:hint="default"/>
      </w:rPr>
    </w:lvl>
    <w:lvl w:ilvl="7" w:tplc="040C0003" w:tentative="1">
      <w:start w:val="1"/>
      <w:numFmt w:val="bullet"/>
      <w:lvlText w:val="o"/>
      <w:lvlJc w:val="left"/>
      <w:pPr>
        <w:ind w:left="5734" w:hanging="360"/>
      </w:pPr>
      <w:rPr>
        <w:rFonts w:ascii="Courier New" w:hAnsi="Courier New" w:cs="Courier New" w:hint="default"/>
      </w:rPr>
    </w:lvl>
    <w:lvl w:ilvl="8" w:tplc="040C0005" w:tentative="1">
      <w:start w:val="1"/>
      <w:numFmt w:val="bullet"/>
      <w:lvlText w:val=""/>
      <w:lvlJc w:val="left"/>
      <w:pPr>
        <w:ind w:left="6454" w:hanging="360"/>
      </w:pPr>
      <w:rPr>
        <w:rFonts w:ascii="Wingdings" w:hAnsi="Wingdings" w:hint="default"/>
      </w:rPr>
    </w:lvl>
  </w:abstractNum>
  <w:abstractNum w:abstractNumId="41" w15:restartNumberingAfterBreak="0">
    <w:nsid w:val="6A3A6EB6"/>
    <w:multiLevelType w:val="hybridMultilevel"/>
    <w:tmpl w:val="E4BEFFCA"/>
    <w:lvl w:ilvl="0" w:tplc="FABA7716">
      <w:numFmt w:val="bullet"/>
      <w:lvlText w:val="-"/>
      <w:lvlJc w:val="left"/>
      <w:pPr>
        <w:ind w:left="720" w:hanging="360"/>
      </w:pPr>
      <w:rPr>
        <w:rFonts w:ascii="Cambria" w:eastAsia="Times New Roman" w:hAnsi="Cambria" w:cs="Aria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D7B53EE"/>
    <w:multiLevelType w:val="hybridMultilevel"/>
    <w:tmpl w:val="1436D2A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47B5500"/>
    <w:multiLevelType w:val="hybridMultilevel"/>
    <w:tmpl w:val="A6D4966A"/>
    <w:lvl w:ilvl="0" w:tplc="ED4C3DD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8CE47AD"/>
    <w:multiLevelType w:val="hybridMultilevel"/>
    <w:tmpl w:val="F7BA544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9FB5981"/>
    <w:multiLevelType w:val="hybridMultilevel"/>
    <w:tmpl w:val="05E69A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7"/>
  </w:num>
  <w:num w:numId="2">
    <w:abstractNumId w:val="40"/>
  </w:num>
  <w:num w:numId="3">
    <w:abstractNumId w:val="45"/>
  </w:num>
  <w:num w:numId="4">
    <w:abstractNumId w:val="32"/>
  </w:num>
  <w:num w:numId="5">
    <w:abstractNumId w:val="30"/>
  </w:num>
  <w:num w:numId="6">
    <w:abstractNumId w:val="28"/>
  </w:num>
  <w:num w:numId="7">
    <w:abstractNumId w:val="20"/>
  </w:num>
  <w:num w:numId="8">
    <w:abstractNumId w:val="35"/>
  </w:num>
  <w:num w:numId="9">
    <w:abstractNumId w:val="33"/>
  </w:num>
  <w:num w:numId="10">
    <w:abstractNumId w:val="24"/>
  </w:num>
  <w:num w:numId="11">
    <w:abstractNumId w:val="14"/>
  </w:num>
  <w:num w:numId="12">
    <w:abstractNumId w:val="17"/>
  </w:num>
  <w:num w:numId="13">
    <w:abstractNumId w:val="22"/>
  </w:num>
  <w:num w:numId="14">
    <w:abstractNumId w:val="15"/>
  </w:num>
  <w:num w:numId="15">
    <w:abstractNumId w:val="37"/>
  </w:num>
  <w:num w:numId="16">
    <w:abstractNumId w:val="3"/>
  </w:num>
  <w:num w:numId="17">
    <w:abstractNumId w:val="5"/>
  </w:num>
  <w:num w:numId="18">
    <w:abstractNumId w:val="44"/>
  </w:num>
  <w:num w:numId="19">
    <w:abstractNumId w:val="43"/>
  </w:num>
  <w:num w:numId="20">
    <w:abstractNumId w:val="29"/>
  </w:num>
  <w:num w:numId="21">
    <w:abstractNumId w:val="11"/>
  </w:num>
  <w:num w:numId="22">
    <w:abstractNumId w:val="13"/>
  </w:num>
  <w:num w:numId="23">
    <w:abstractNumId w:val="34"/>
  </w:num>
  <w:num w:numId="24">
    <w:abstractNumId w:val="42"/>
  </w:num>
  <w:num w:numId="25">
    <w:abstractNumId w:val="36"/>
  </w:num>
  <w:num w:numId="26">
    <w:abstractNumId w:val="41"/>
  </w:num>
  <w:num w:numId="27">
    <w:abstractNumId w:val="18"/>
  </w:num>
  <w:num w:numId="28">
    <w:abstractNumId w:val="4"/>
  </w:num>
  <w:num w:numId="29">
    <w:abstractNumId w:val="8"/>
  </w:num>
  <w:num w:numId="30">
    <w:abstractNumId w:val="10"/>
  </w:num>
  <w:num w:numId="31">
    <w:abstractNumId w:val="38"/>
  </w:num>
  <w:num w:numId="32">
    <w:abstractNumId w:val="7"/>
  </w:num>
  <w:num w:numId="33">
    <w:abstractNumId w:val="9"/>
  </w:num>
  <w:num w:numId="34">
    <w:abstractNumId w:val="31"/>
  </w:num>
  <w:num w:numId="35">
    <w:abstractNumId w:val="1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num>
  <w:num w:numId="38">
    <w:abstractNumId w:val="23"/>
  </w:num>
  <w:num w:numId="39">
    <w:abstractNumId w:val="26"/>
  </w:num>
  <w:num w:numId="40">
    <w:abstractNumId w:val="6"/>
  </w:num>
  <w:num w:numId="41">
    <w:abstractNumId w:val="25"/>
  </w:num>
  <w:num w:numId="42">
    <w:abstractNumId w:val="12"/>
  </w:num>
  <w:num w:numId="43">
    <w:abstractNumId w:val="21"/>
  </w:num>
  <w:num w:numId="44">
    <w:abstractNumId w:val="2"/>
  </w:num>
  <w:num w:numId="45">
    <w:abstractNumId w:val="19"/>
  </w:num>
  <w:num w:numId="46">
    <w:abstractNumId w:val="1"/>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evenAndOddHeaders/>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338"/>
    <w:rsid w:val="000006E0"/>
    <w:rsid w:val="00003B7A"/>
    <w:rsid w:val="00003D82"/>
    <w:rsid w:val="00003F6B"/>
    <w:rsid w:val="000040DE"/>
    <w:rsid w:val="000045C7"/>
    <w:rsid w:val="00005790"/>
    <w:rsid w:val="000062A6"/>
    <w:rsid w:val="000068C2"/>
    <w:rsid w:val="000074E5"/>
    <w:rsid w:val="000108E0"/>
    <w:rsid w:val="00010B1D"/>
    <w:rsid w:val="0001264E"/>
    <w:rsid w:val="00012F80"/>
    <w:rsid w:val="000131A7"/>
    <w:rsid w:val="000133F2"/>
    <w:rsid w:val="00013BF6"/>
    <w:rsid w:val="000156F6"/>
    <w:rsid w:val="000160AC"/>
    <w:rsid w:val="00017D21"/>
    <w:rsid w:val="0002013D"/>
    <w:rsid w:val="0002175B"/>
    <w:rsid w:val="00021F62"/>
    <w:rsid w:val="0002357D"/>
    <w:rsid w:val="000239DB"/>
    <w:rsid w:val="00024FFF"/>
    <w:rsid w:val="00026885"/>
    <w:rsid w:val="000268A0"/>
    <w:rsid w:val="00027627"/>
    <w:rsid w:val="00027B52"/>
    <w:rsid w:val="00027EDB"/>
    <w:rsid w:val="000302BD"/>
    <w:rsid w:val="00030917"/>
    <w:rsid w:val="00030C94"/>
    <w:rsid w:val="000310AC"/>
    <w:rsid w:val="00031850"/>
    <w:rsid w:val="0003274B"/>
    <w:rsid w:val="000339A4"/>
    <w:rsid w:val="00034AE8"/>
    <w:rsid w:val="00034E06"/>
    <w:rsid w:val="000366AE"/>
    <w:rsid w:val="00036932"/>
    <w:rsid w:val="000376DF"/>
    <w:rsid w:val="00037FF7"/>
    <w:rsid w:val="000429DA"/>
    <w:rsid w:val="00042FEA"/>
    <w:rsid w:val="00043169"/>
    <w:rsid w:val="00043545"/>
    <w:rsid w:val="00043CA8"/>
    <w:rsid w:val="000444E2"/>
    <w:rsid w:val="00045403"/>
    <w:rsid w:val="00045EC7"/>
    <w:rsid w:val="00046191"/>
    <w:rsid w:val="000461D8"/>
    <w:rsid w:val="00046455"/>
    <w:rsid w:val="000466D5"/>
    <w:rsid w:val="00046E34"/>
    <w:rsid w:val="00050416"/>
    <w:rsid w:val="00050796"/>
    <w:rsid w:val="0005174B"/>
    <w:rsid w:val="00052FC8"/>
    <w:rsid w:val="00053164"/>
    <w:rsid w:val="00053721"/>
    <w:rsid w:val="00054AC6"/>
    <w:rsid w:val="00054DB5"/>
    <w:rsid w:val="0005544D"/>
    <w:rsid w:val="000555B3"/>
    <w:rsid w:val="000566D9"/>
    <w:rsid w:val="0005731B"/>
    <w:rsid w:val="000574F9"/>
    <w:rsid w:val="00057A2E"/>
    <w:rsid w:val="00060590"/>
    <w:rsid w:val="000609F5"/>
    <w:rsid w:val="00060A1E"/>
    <w:rsid w:val="00060EFE"/>
    <w:rsid w:val="0006483E"/>
    <w:rsid w:val="00065267"/>
    <w:rsid w:val="00065757"/>
    <w:rsid w:val="00066A59"/>
    <w:rsid w:val="000710F3"/>
    <w:rsid w:val="000711AF"/>
    <w:rsid w:val="00071235"/>
    <w:rsid w:val="00071764"/>
    <w:rsid w:val="00071E30"/>
    <w:rsid w:val="00072C5B"/>
    <w:rsid w:val="000741BC"/>
    <w:rsid w:val="00074CFD"/>
    <w:rsid w:val="000758FD"/>
    <w:rsid w:val="00075BA6"/>
    <w:rsid w:val="00075F68"/>
    <w:rsid w:val="000762A5"/>
    <w:rsid w:val="000766D5"/>
    <w:rsid w:val="0007790D"/>
    <w:rsid w:val="00077A09"/>
    <w:rsid w:val="00077C68"/>
    <w:rsid w:val="00082CE7"/>
    <w:rsid w:val="0008323D"/>
    <w:rsid w:val="00083DBC"/>
    <w:rsid w:val="000867A4"/>
    <w:rsid w:val="0008701A"/>
    <w:rsid w:val="000872F2"/>
    <w:rsid w:val="00090591"/>
    <w:rsid w:val="000917AB"/>
    <w:rsid w:val="00093998"/>
    <w:rsid w:val="00097A86"/>
    <w:rsid w:val="000A037F"/>
    <w:rsid w:val="000A144C"/>
    <w:rsid w:val="000A1E7C"/>
    <w:rsid w:val="000A3F91"/>
    <w:rsid w:val="000A4561"/>
    <w:rsid w:val="000A4E98"/>
    <w:rsid w:val="000A5705"/>
    <w:rsid w:val="000A57AB"/>
    <w:rsid w:val="000A57CB"/>
    <w:rsid w:val="000A597B"/>
    <w:rsid w:val="000A5B82"/>
    <w:rsid w:val="000B07A0"/>
    <w:rsid w:val="000B3095"/>
    <w:rsid w:val="000B40CE"/>
    <w:rsid w:val="000B429F"/>
    <w:rsid w:val="000B5559"/>
    <w:rsid w:val="000B5622"/>
    <w:rsid w:val="000B56C5"/>
    <w:rsid w:val="000B62D1"/>
    <w:rsid w:val="000B76B9"/>
    <w:rsid w:val="000B7A2C"/>
    <w:rsid w:val="000B7DE7"/>
    <w:rsid w:val="000B7EA6"/>
    <w:rsid w:val="000C037F"/>
    <w:rsid w:val="000C1460"/>
    <w:rsid w:val="000C2B5D"/>
    <w:rsid w:val="000C3478"/>
    <w:rsid w:val="000C4C70"/>
    <w:rsid w:val="000C6816"/>
    <w:rsid w:val="000C7483"/>
    <w:rsid w:val="000C78F8"/>
    <w:rsid w:val="000D0C3B"/>
    <w:rsid w:val="000D2A92"/>
    <w:rsid w:val="000D3022"/>
    <w:rsid w:val="000D3C07"/>
    <w:rsid w:val="000D4956"/>
    <w:rsid w:val="000D6C6C"/>
    <w:rsid w:val="000D6FC4"/>
    <w:rsid w:val="000E0004"/>
    <w:rsid w:val="000E0668"/>
    <w:rsid w:val="000E1D44"/>
    <w:rsid w:val="000E450B"/>
    <w:rsid w:val="000E4893"/>
    <w:rsid w:val="000E4A38"/>
    <w:rsid w:val="000E4C40"/>
    <w:rsid w:val="000E5FE8"/>
    <w:rsid w:val="000E66F5"/>
    <w:rsid w:val="000E6C32"/>
    <w:rsid w:val="000E7AA9"/>
    <w:rsid w:val="000F05DE"/>
    <w:rsid w:val="000F1516"/>
    <w:rsid w:val="000F1AB5"/>
    <w:rsid w:val="000F27B7"/>
    <w:rsid w:val="000F3B48"/>
    <w:rsid w:val="000F46EB"/>
    <w:rsid w:val="000F5985"/>
    <w:rsid w:val="000F76C5"/>
    <w:rsid w:val="000F7C74"/>
    <w:rsid w:val="001007B1"/>
    <w:rsid w:val="00102E42"/>
    <w:rsid w:val="00103618"/>
    <w:rsid w:val="00104CC1"/>
    <w:rsid w:val="001057AC"/>
    <w:rsid w:val="001067A2"/>
    <w:rsid w:val="0011043F"/>
    <w:rsid w:val="001112B1"/>
    <w:rsid w:val="00111742"/>
    <w:rsid w:val="00112888"/>
    <w:rsid w:val="00112AFB"/>
    <w:rsid w:val="00113395"/>
    <w:rsid w:val="00113971"/>
    <w:rsid w:val="00113DFB"/>
    <w:rsid w:val="0011414E"/>
    <w:rsid w:val="00115DD6"/>
    <w:rsid w:val="0011633F"/>
    <w:rsid w:val="001164CA"/>
    <w:rsid w:val="00116526"/>
    <w:rsid w:val="001213C1"/>
    <w:rsid w:val="00122458"/>
    <w:rsid w:val="00122A52"/>
    <w:rsid w:val="00124406"/>
    <w:rsid w:val="00125D03"/>
    <w:rsid w:val="001270AA"/>
    <w:rsid w:val="00130466"/>
    <w:rsid w:val="00130694"/>
    <w:rsid w:val="00130C76"/>
    <w:rsid w:val="00132982"/>
    <w:rsid w:val="00132C03"/>
    <w:rsid w:val="001331E0"/>
    <w:rsid w:val="0013472D"/>
    <w:rsid w:val="00135305"/>
    <w:rsid w:val="001368AD"/>
    <w:rsid w:val="00137300"/>
    <w:rsid w:val="00140D70"/>
    <w:rsid w:val="00142ADA"/>
    <w:rsid w:val="001451C9"/>
    <w:rsid w:val="00147660"/>
    <w:rsid w:val="00150C65"/>
    <w:rsid w:val="0015286A"/>
    <w:rsid w:val="00152B7B"/>
    <w:rsid w:val="001531F8"/>
    <w:rsid w:val="00153C2A"/>
    <w:rsid w:val="00155448"/>
    <w:rsid w:val="0015554F"/>
    <w:rsid w:val="00155E8F"/>
    <w:rsid w:val="00156576"/>
    <w:rsid w:val="00156F3B"/>
    <w:rsid w:val="00157670"/>
    <w:rsid w:val="0015778B"/>
    <w:rsid w:val="001577EA"/>
    <w:rsid w:val="00157DEC"/>
    <w:rsid w:val="0016295F"/>
    <w:rsid w:val="0016331D"/>
    <w:rsid w:val="00164E75"/>
    <w:rsid w:val="00165242"/>
    <w:rsid w:val="00165D0F"/>
    <w:rsid w:val="00166D21"/>
    <w:rsid w:val="001676C1"/>
    <w:rsid w:val="00170644"/>
    <w:rsid w:val="00170D80"/>
    <w:rsid w:val="00171839"/>
    <w:rsid w:val="0017227C"/>
    <w:rsid w:val="001726D7"/>
    <w:rsid w:val="00173F42"/>
    <w:rsid w:val="0017426D"/>
    <w:rsid w:val="00174B44"/>
    <w:rsid w:val="00174BD1"/>
    <w:rsid w:val="001757FB"/>
    <w:rsid w:val="00175D63"/>
    <w:rsid w:val="001774C1"/>
    <w:rsid w:val="001806DE"/>
    <w:rsid w:val="0018107B"/>
    <w:rsid w:val="001815F7"/>
    <w:rsid w:val="001818A1"/>
    <w:rsid w:val="00181C60"/>
    <w:rsid w:val="001824C2"/>
    <w:rsid w:val="00183AD2"/>
    <w:rsid w:val="00187C8A"/>
    <w:rsid w:val="001901BE"/>
    <w:rsid w:val="001910B4"/>
    <w:rsid w:val="001915C0"/>
    <w:rsid w:val="00191A44"/>
    <w:rsid w:val="001925CF"/>
    <w:rsid w:val="00194479"/>
    <w:rsid w:val="00195313"/>
    <w:rsid w:val="001955CF"/>
    <w:rsid w:val="0019616D"/>
    <w:rsid w:val="00196F17"/>
    <w:rsid w:val="001A01F8"/>
    <w:rsid w:val="001A0373"/>
    <w:rsid w:val="001A0635"/>
    <w:rsid w:val="001A0B88"/>
    <w:rsid w:val="001A1910"/>
    <w:rsid w:val="001A1962"/>
    <w:rsid w:val="001A1C17"/>
    <w:rsid w:val="001A3860"/>
    <w:rsid w:val="001A4914"/>
    <w:rsid w:val="001A5291"/>
    <w:rsid w:val="001A5B1A"/>
    <w:rsid w:val="001A685F"/>
    <w:rsid w:val="001A7BD3"/>
    <w:rsid w:val="001A7F70"/>
    <w:rsid w:val="001B0609"/>
    <w:rsid w:val="001B0A3B"/>
    <w:rsid w:val="001B0F14"/>
    <w:rsid w:val="001B130F"/>
    <w:rsid w:val="001B2930"/>
    <w:rsid w:val="001B2DED"/>
    <w:rsid w:val="001B502B"/>
    <w:rsid w:val="001B6BF8"/>
    <w:rsid w:val="001B6D2E"/>
    <w:rsid w:val="001B7979"/>
    <w:rsid w:val="001B7BED"/>
    <w:rsid w:val="001C1646"/>
    <w:rsid w:val="001C16FC"/>
    <w:rsid w:val="001C1B74"/>
    <w:rsid w:val="001C2532"/>
    <w:rsid w:val="001C2BEC"/>
    <w:rsid w:val="001C47E9"/>
    <w:rsid w:val="001C50AC"/>
    <w:rsid w:val="001C6725"/>
    <w:rsid w:val="001C6E12"/>
    <w:rsid w:val="001D17E1"/>
    <w:rsid w:val="001D373A"/>
    <w:rsid w:val="001D4937"/>
    <w:rsid w:val="001D4B16"/>
    <w:rsid w:val="001D4FA8"/>
    <w:rsid w:val="001D5450"/>
    <w:rsid w:val="001D6CF5"/>
    <w:rsid w:val="001E054C"/>
    <w:rsid w:val="001E1BD7"/>
    <w:rsid w:val="001E1E72"/>
    <w:rsid w:val="001E3C3B"/>
    <w:rsid w:val="001E4D3D"/>
    <w:rsid w:val="001E6A33"/>
    <w:rsid w:val="001E6FD3"/>
    <w:rsid w:val="001E7880"/>
    <w:rsid w:val="001F1FD5"/>
    <w:rsid w:val="001F483D"/>
    <w:rsid w:val="001F566B"/>
    <w:rsid w:val="001F7994"/>
    <w:rsid w:val="002006FF"/>
    <w:rsid w:val="00200FE2"/>
    <w:rsid w:val="00202D67"/>
    <w:rsid w:val="00204F37"/>
    <w:rsid w:val="00205A66"/>
    <w:rsid w:val="0020636D"/>
    <w:rsid w:val="00206D72"/>
    <w:rsid w:val="00207E07"/>
    <w:rsid w:val="00210B55"/>
    <w:rsid w:val="0021277B"/>
    <w:rsid w:val="00216300"/>
    <w:rsid w:val="00217D2B"/>
    <w:rsid w:val="00221083"/>
    <w:rsid w:val="002243B6"/>
    <w:rsid w:val="00224B57"/>
    <w:rsid w:val="002267E5"/>
    <w:rsid w:val="00227692"/>
    <w:rsid w:val="00227748"/>
    <w:rsid w:val="0023226D"/>
    <w:rsid w:val="00233ED2"/>
    <w:rsid w:val="002344E4"/>
    <w:rsid w:val="00235C64"/>
    <w:rsid w:val="00235CB9"/>
    <w:rsid w:val="002374E2"/>
    <w:rsid w:val="00237E48"/>
    <w:rsid w:val="00237F38"/>
    <w:rsid w:val="00241308"/>
    <w:rsid w:val="00241E1B"/>
    <w:rsid w:val="00242406"/>
    <w:rsid w:val="00242452"/>
    <w:rsid w:val="00242832"/>
    <w:rsid w:val="002429F6"/>
    <w:rsid w:val="002441AC"/>
    <w:rsid w:val="00244274"/>
    <w:rsid w:val="00246289"/>
    <w:rsid w:val="00247FC5"/>
    <w:rsid w:val="0025042F"/>
    <w:rsid w:val="00252741"/>
    <w:rsid w:val="002539A7"/>
    <w:rsid w:val="00253ECB"/>
    <w:rsid w:val="002540C4"/>
    <w:rsid w:val="00254F8B"/>
    <w:rsid w:val="00255F4F"/>
    <w:rsid w:val="002570FC"/>
    <w:rsid w:val="00257DF9"/>
    <w:rsid w:val="00260631"/>
    <w:rsid w:val="00263C96"/>
    <w:rsid w:val="00265E5A"/>
    <w:rsid w:val="00266388"/>
    <w:rsid w:val="00266ABB"/>
    <w:rsid w:val="00266B7D"/>
    <w:rsid w:val="00266C00"/>
    <w:rsid w:val="002677D5"/>
    <w:rsid w:val="002719B7"/>
    <w:rsid w:val="00273AD8"/>
    <w:rsid w:val="002741DB"/>
    <w:rsid w:val="0027569D"/>
    <w:rsid w:val="00275D97"/>
    <w:rsid w:val="002769A2"/>
    <w:rsid w:val="00276EC7"/>
    <w:rsid w:val="0028086F"/>
    <w:rsid w:val="002815F8"/>
    <w:rsid w:val="00281D3B"/>
    <w:rsid w:val="00282920"/>
    <w:rsid w:val="00282F61"/>
    <w:rsid w:val="00283524"/>
    <w:rsid w:val="00283DC0"/>
    <w:rsid w:val="00283F86"/>
    <w:rsid w:val="00284111"/>
    <w:rsid w:val="002850D0"/>
    <w:rsid w:val="00286677"/>
    <w:rsid w:val="00287963"/>
    <w:rsid w:val="00290573"/>
    <w:rsid w:val="002908A3"/>
    <w:rsid w:val="002910C6"/>
    <w:rsid w:val="002918F2"/>
    <w:rsid w:val="0029200B"/>
    <w:rsid w:val="002921E2"/>
    <w:rsid w:val="00292EB2"/>
    <w:rsid w:val="0029361B"/>
    <w:rsid w:val="00293A31"/>
    <w:rsid w:val="00293BF3"/>
    <w:rsid w:val="002944B6"/>
    <w:rsid w:val="00294610"/>
    <w:rsid w:val="00295A71"/>
    <w:rsid w:val="00295DDF"/>
    <w:rsid w:val="00297AB8"/>
    <w:rsid w:val="002A056E"/>
    <w:rsid w:val="002A0782"/>
    <w:rsid w:val="002A37F2"/>
    <w:rsid w:val="002A415E"/>
    <w:rsid w:val="002A6372"/>
    <w:rsid w:val="002B0E0D"/>
    <w:rsid w:val="002B258D"/>
    <w:rsid w:val="002B2C16"/>
    <w:rsid w:val="002B31B6"/>
    <w:rsid w:val="002B3B37"/>
    <w:rsid w:val="002B4783"/>
    <w:rsid w:val="002B4F0F"/>
    <w:rsid w:val="002B5ADC"/>
    <w:rsid w:val="002B5C66"/>
    <w:rsid w:val="002B6AA7"/>
    <w:rsid w:val="002B71F8"/>
    <w:rsid w:val="002C0592"/>
    <w:rsid w:val="002C0617"/>
    <w:rsid w:val="002C0BFF"/>
    <w:rsid w:val="002C221C"/>
    <w:rsid w:val="002C23B3"/>
    <w:rsid w:val="002C34E8"/>
    <w:rsid w:val="002C3946"/>
    <w:rsid w:val="002C3F9C"/>
    <w:rsid w:val="002C4745"/>
    <w:rsid w:val="002C54D6"/>
    <w:rsid w:val="002C6283"/>
    <w:rsid w:val="002C754D"/>
    <w:rsid w:val="002C7973"/>
    <w:rsid w:val="002C7C9C"/>
    <w:rsid w:val="002D064C"/>
    <w:rsid w:val="002D42A0"/>
    <w:rsid w:val="002D53C2"/>
    <w:rsid w:val="002E032A"/>
    <w:rsid w:val="002E0B31"/>
    <w:rsid w:val="002E229D"/>
    <w:rsid w:val="002E3F16"/>
    <w:rsid w:val="002E4207"/>
    <w:rsid w:val="002E6105"/>
    <w:rsid w:val="002E656A"/>
    <w:rsid w:val="002E7841"/>
    <w:rsid w:val="002E7882"/>
    <w:rsid w:val="002F002D"/>
    <w:rsid w:val="002F0423"/>
    <w:rsid w:val="002F0D7A"/>
    <w:rsid w:val="002F2000"/>
    <w:rsid w:val="002F2968"/>
    <w:rsid w:val="002F3ADD"/>
    <w:rsid w:val="002F6D6E"/>
    <w:rsid w:val="002F7088"/>
    <w:rsid w:val="00300C03"/>
    <w:rsid w:val="003021DD"/>
    <w:rsid w:val="0030233A"/>
    <w:rsid w:val="00303190"/>
    <w:rsid w:val="003040BA"/>
    <w:rsid w:val="00304432"/>
    <w:rsid w:val="00306E98"/>
    <w:rsid w:val="0030740C"/>
    <w:rsid w:val="0031026F"/>
    <w:rsid w:val="00310FB6"/>
    <w:rsid w:val="00311434"/>
    <w:rsid w:val="003115C9"/>
    <w:rsid w:val="00311C13"/>
    <w:rsid w:val="00313004"/>
    <w:rsid w:val="00314715"/>
    <w:rsid w:val="00314931"/>
    <w:rsid w:val="00315C70"/>
    <w:rsid w:val="00316151"/>
    <w:rsid w:val="00316D7E"/>
    <w:rsid w:val="003179FF"/>
    <w:rsid w:val="0032149A"/>
    <w:rsid w:val="00321E3D"/>
    <w:rsid w:val="003225FB"/>
    <w:rsid w:val="0032372B"/>
    <w:rsid w:val="0032374F"/>
    <w:rsid w:val="00325014"/>
    <w:rsid w:val="00327619"/>
    <w:rsid w:val="00330E1B"/>
    <w:rsid w:val="00332E10"/>
    <w:rsid w:val="00337317"/>
    <w:rsid w:val="00337973"/>
    <w:rsid w:val="00337BC8"/>
    <w:rsid w:val="00337FA7"/>
    <w:rsid w:val="00342D25"/>
    <w:rsid w:val="00343271"/>
    <w:rsid w:val="003435B9"/>
    <w:rsid w:val="00344BA6"/>
    <w:rsid w:val="003458A4"/>
    <w:rsid w:val="00346024"/>
    <w:rsid w:val="00350CC3"/>
    <w:rsid w:val="0035284D"/>
    <w:rsid w:val="00352EFD"/>
    <w:rsid w:val="003538C9"/>
    <w:rsid w:val="00353DE2"/>
    <w:rsid w:val="003543F2"/>
    <w:rsid w:val="00354834"/>
    <w:rsid w:val="003569DD"/>
    <w:rsid w:val="00357130"/>
    <w:rsid w:val="003571E1"/>
    <w:rsid w:val="0035780F"/>
    <w:rsid w:val="00357D41"/>
    <w:rsid w:val="00357DCF"/>
    <w:rsid w:val="003602D8"/>
    <w:rsid w:val="00361336"/>
    <w:rsid w:val="00361762"/>
    <w:rsid w:val="0036470C"/>
    <w:rsid w:val="0036489A"/>
    <w:rsid w:val="00365F21"/>
    <w:rsid w:val="00370404"/>
    <w:rsid w:val="00372A8C"/>
    <w:rsid w:val="0037302D"/>
    <w:rsid w:val="003745CC"/>
    <w:rsid w:val="00376CD8"/>
    <w:rsid w:val="003771D1"/>
    <w:rsid w:val="003772BD"/>
    <w:rsid w:val="003772E4"/>
    <w:rsid w:val="00380E4C"/>
    <w:rsid w:val="0038129B"/>
    <w:rsid w:val="003816C7"/>
    <w:rsid w:val="003818B0"/>
    <w:rsid w:val="00381A83"/>
    <w:rsid w:val="003822E4"/>
    <w:rsid w:val="0038311C"/>
    <w:rsid w:val="00383B04"/>
    <w:rsid w:val="00383CAB"/>
    <w:rsid w:val="00384453"/>
    <w:rsid w:val="00386620"/>
    <w:rsid w:val="003879C2"/>
    <w:rsid w:val="00390754"/>
    <w:rsid w:val="00391707"/>
    <w:rsid w:val="003918E3"/>
    <w:rsid w:val="00392CFD"/>
    <w:rsid w:val="00394ACD"/>
    <w:rsid w:val="00394B6B"/>
    <w:rsid w:val="0039658C"/>
    <w:rsid w:val="00397708"/>
    <w:rsid w:val="003A0062"/>
    <w:rsid w:val="003A4F2D"/>
    <w:rsid w:val="003A5021"/>
    <w:rsid w:val="003A591B"/>
    <w:rsid w:val="003A5C22"/>
    <w:rsid w:val="003A71A4"/>
    <w:rsid w:val="003B1819"/>
    <w:rsid w:val="003B208E"/>
    <w:rsid w:val="003B20CC"/>
    <w:rsid w:val="003B25F0"/>
    <w:rsid w:val="003B3AFE"/>
    <w:rsid w:val="003B40B5"/>
    <w:rsid w:val="003B4FCD"/>
    <w:rsid w:val="003B590D"/>
    <w:rsid w:val="003B5C83"/>
    <w:rsid w:val="003B6CF7"/>
    <w:rsid w:val="003B7E62"/>
    <w:rsid w:val="003B7EBB"/>
    <w:rsid w:val="003C34AE"/>
    <w:rsid w:val="003C45A8"/>
    <w:rsid w:val="003C582E"/>
    <w:rsid w:val="003C7E71"/>
    <w:rsid w:val="003D065D"/>
    <w:rsid w:val="003D074C"/>
    <w:rsid w:val="003D2592"/>
    <w:rsid w:val="003D5022"/>
    <w:rsid w:val="003D5050"/>
    <w:rsid w:val="003D519D"/>
    <w:rsid w:val="003D6343"/>
    <w:rsid w:val="003E0020"/>
    <w:rsid w:val="003E16A0"/>
    <w:rsid w:val="003E2BBD"/>
    <w:rsid w:val="003E49C5"/>
    <w:rsid w:val="003E55B9"/>
    <w:rsid w:val="003E59A8"/>
    <w:rsid w:val="003E624B"/>
    <w:rsid w:val="003F01A7"/>
    <w:rsid w:val="003F02EB"/>
    <w:rsid w:val="003F1B4A"/>
    <w:rsid w:val="003F4E97"/>
    <w:rsid w:val="003F57F5"/>
    <w:rsid w:val="003F6ED8"/>
    <w:rsid w:val="003F77F5"/>
    <w:rsid w:val="00400CC7"/>
    <w:rsid w:val="004025AE"/>
    <w:rsid w:val="00405218"/>
    <w:rsid w:val="00405E55"/>
    <w:rsid w:val="004067A9"/>
    <w:rsid w:val="004068C2"/>
    <w:rsid w:val="004115EB"/>
    <w:rsid w:val="00411879"/>
    <w:rsid w:val="00411CAD"/>
    <w:rsid w:val="00412178"/>
    <w:rsid w:val="00412B4C"/>
    <w:rsid w:val="00413225"/>
    <w:rsid w:val="00414EF7"/>
    <w:rsid w:val="004151AE"/>
    <w:rsid w:val="00416C77"/>
    <w:rsid w:val="004175C9"/>
    <w:rsid w:val="00417733"/>
    <w:rsid w:val="00417916"/>
    <w:rsid w:val="00420D9E"/>
    <w:rsid w:val="00420F70"/>
    <w:rsid w:val="00422E5A"/>
    <w:rsid w:val="00424976"/>
    <w:rsid w:val="0042696E"/>
    <w:rsid w:val="00431D05"/>
    <w:rsid w:val="00431EE0"/>
    <w:rsid w:val="004328E3"/>
    <w:rsid w:val="004330C1"/>
    <w:rsid w:val="00433FDE"/>
    <w:rsid w:val="004340EF"/>
    <w:rsid w:val="004342B1"/>
    <w:rsid w:val="004367B1"/>
    <w:rsid w:val="0043691A"/>
    <w:rsid w:val="00436B83"/>
    <w:rsid w:val="0043736B"/>
    <w:rsid w:val="00437ABB"/>
    <w:rsid w:val="00440CCE"/>
    <w:rsid w:val="00443F44"/>
    <w:rsid w:val="004453F8"/>
    <w:rsid w:val="00445844"/>
    <w:rsid w:val="00446183"/>
    <w:rsid w:val="004470C7"/>
    <w:rsid w:val="00447CEA"/>
    <w:rsid w:val="00452059"/>
    <w:rsid w:val="00452AA0"/>
    <w:rsid w:val="004536BE"/>
    <w:rsid w:val="00453C04"/>
    <w:rsid w:val="0045468D"/>
    <w:rsid w:val="004548A3"/>
    <w:rsid w:val="004551E6"/>
    <w:rsid w:val="00455B65"/>
    <w:rsid w:val="00456C6E"/>
    <w:rsid w:val="004576D4"/>
    <w:rsid w:val="00457D32"/>
    <w:rsid w:val="00460D83"/>
    <w:rsid w:val="004616B2"/>
    <w:rsid w:val="0046281D"/>
    <w:rsid w:val="00463A46"/>
    <w:rsid w:val="00463D75"/>
    <w:rsid w:val="00463E1B"/>
    <w:rsid w:val="0046517E"/>
    <w:rsid w:val="00470133"/>
    <w:rsid w:val="004717ED"/>
    <w:rsid w:val="00472EAB"/>
    <w:rsid w:val="00473AA9"/>
    <w:rsid w:val="00476A7E"/>
    <w:rsid w:val="00477324"/>
    <w:rsid w:val="00477557"/>
    <w:rsid w:val="00481674"/>
    <w:rsid w:val="00481725"/>
    <w:rsid w:val="00482B33"/>
    <w:rsid w:val="00482D83"/>
    <w:rsid w:val="00484DA4"/>
    <w:rsid w:val="00485C26"/>
    <w:rsid w:val="00485F82"/>
    <w:rsid w:val="004862B5"/>
    <w:rsid w:val="00487216"/>
    <w:rsid w:val="004873E4"/>
    <w:rsid w:val="00493DCD"/>
    <w:rsid w:val="0049536C"/>
    <w:rsid w:val="00495503"/>
    <w:rsid w:val="00495EC1"/>
    <w:rsid w:val="004960AC"/>
    <w:rsid w:val="00496294"/>
    <w:rsid w:val="0049647C"/>
    <w:rsid w:val="00497883"/>
    <w:rsid w:val="004A04F4"/>
    <w:rsid w:val="004A0682"/>
    <w:rsid w:val="004A20B1"/>
    <w:rsid w:val="004A21C2"/>
    <w:rsid w:val="004A2C17"/>
    <w:rsid w:val="004A2F03"/>
    <w:rsid w:val="004A300C"/>
    <w:rsid w:val="004A3509"/>
    <w:rsid w:val="004A45E8"/>
    <w:rsid w:val="004A57AA"/>
    <w:rsid w:val="004A7587"/>
    <w:rsid w:val="004B153C"/>
    <w:rsid w:val="004B1E1B"/>
    <w:rsid w:val="004B2A14"/>
    <w:rsid w:val="004B6873"/>
    <w:rsid w:val="004C05A8"/>
    <w:rsid w:val="004C0C6E"/>
    <w:rsid w:val="004C169F"/>
    <w:rsid w:val="004C1AC4"/>
    <w:rsid w:val="004C2CB6"/>
    <w:rsid w:val="004C4A3B"/>
    <w:rsid w:val="004C4D91"/>
    <w:rsid w:val="004C523A"/>
    <w:rsid w:val="004C5B25"/>
    <w:rsid w:val="004C6A5D"/>
    <w:rsid w:val="004C7D3D"/>
    <w:rsid w:val="004D0019"/>
    <w:rsid w:val="004D03C6"/>
    <w:rsid w:val="004D0482"/>
    <w:rsid w:val="004D06C6"/>
    <w:rsid w:val="004D0765"/>
    <w:rsid w:val="004D1043"/>
    <w:rsid w:val="004D1337"/>
    <w:rsid w:val="004D16C6"/>
    <w:rsid w:val="004D1BD8"/>
    <w:rsid w:val="004D2232"/>
    <w:rsid w:val="004D2306"/>
    <w:rsid w:val="004D2BFD"/>
    <w:rsid w:val="004D4DF1"/>
    <w:rsid w:val="004D54F1"/>
    <w:rsid w:val="004D6135"/>
    <w:rsid w:val="004D7CA5"/>
    <w:rsid w:val="004E29AA"/>
    <w:rsid w:val="004E2E53"/>
    <w:rsid w:val="004E5798"/>
    <w:rsid w:val="004E640E"/>
    <w:rsid w:val="004E75E9"/>
    <w:rsid w:val="004F25DE"/>
    <w:rsid w:val="004F416D"/>
    <w:rsid w:val="004F6030"/>
    <w:rsid w:val="004F7537"/>
    <w:rsid w:val="004F7690"/>
    <w:rsid w:val="005002DC"/>
    <w:rsid w:val="005008F7"/>
    <w:rsid w:val="00501057"/>
    <w:rsid w:val="00502BC5"/>
    <w:rsid w:val="00503304"/>
    <w:rsid w:val="005040E0"/>
    <w:rsid w:val="0050464C"/>
    <w:rsid w:val="00505C0E"/>
    <w:rsid w:val="005061B9"/>
    <w:rsid w:val="005069E4"/>
    <w:rsid w:val="00507EDA"/>
    <w:rsid w:val="00510036"/>
    <w:rsid w:val="005104F1"/>
    <w:rsid w:val="00510A9C"/>
    <w:rsid w:val="00511572"/>
    <w:rsid w:val="0051185E"/>
    <w:rsid w:val="00512C77"/>
    <w:rsid w:val="00514C08"/>
    <w:rsid w:val="00515A5B"/>
    <w:rsid w:val="00521839"/>
    <w:rsid w:val="00522139"/>
    <w:rsid w:val="00523144"/>
    <w:rsid w:val="00523C66"/>
    <w:rsid w:val="00523E24"/>
    <w:rsid w:val="005244FC"/>
    <w:rsid w:val="005250B9"/>
    <w:rsid w:val="0052590A"/>
    <w:rsid w:val="00527100"/>
    <w:rsid w:val="005277CE"/>
    <w:rsid w:val="00531988"/>
    <w:rsid w:val="00532473"/>
    <w:rsid w:val="00533111"/>
    <w:rsid w:val="00534511"/>
    <w:rsid w:val="00534A49"/>
    <w:rsid w:val="0053519F"/>
    <w:rsid w:val="005359F4"/>
    <w:rsid w:val="005414A0"/>
    <w:rsid w:val="0054266C"/>
    <w:rsid w:val="00543314"/>
    <w:rsid w:val="005445E0"/>
    <w:rsid w:val="005449FE"/>
    <w:rsid w:val="00545BF4"/>
    <w:rsid w:val="00545E8B"/>
    <w:rsid w:val="005473C1"/>
    <w:rsid w:val="00547F81"/>
    <w:rsid w:val="00551582"/>
    <w:rsid w:val="00551C84"/>
    <w:rsid w:val="00551CE7"/>
    <w:rsid w:val="00552F53"/>
    <w:rsid w:val="00557006"/>
    <w:rsid w:val="00557A5D"/>
    <w:rsid w:val="005607F0"/>
    <w:rsid w:val="0056145B"/>
    <w:rsid w:val="0056175A"/>
    <w:rsid w:val="00562588"/>
    <w:rsid w:val="00563390"/>
    <w:rsid w:val="00563AAD"/>
    <w:rsid w:val="00565050"/>
    <w:rsid w:val="00565C76"/>
    <w:rsid w:val="0056659F"/>
    <w:rsid w:val="00571100"/>
    <w:rsid w:val="00571A57"/>
    <w:rsid w:val="00573A34"/>
    <w:rsid w:val="00573A8F"/>
    <w:rsid w:val="00573C16"/>
    <w:rsid w:val="00574460"/>
    <w:rsid w:val="00580305"/>
    <w:rsid w:val="00580EE4"/>
    <w:rsid w:val="00581378"/>
    <w:rsid w:val="00583DB5"/>
    <w:rsid w:val="00583EA8"/>
    <w:rsid w:val="00584498"/>
    <w:rsid w:val="0058468E"/>
    <w:rsid w:val="00585365"/>
    <w:rsid w:val="00586193"/>
    <w:rsid w:val="00586288"/>
    <w:rsid w:val="00586660"/>
    <w:rsid w:val="00586CAA"/>
    <w:rsid w:val="0059411A"/>
    <w:rsid w:val="0059524E"/>
    <w:rsid w:val="0059600A"/>
    <w:rsid w:val="005965DF"/>
    <w:rsid w:val="00596D44"/>
    <w:rsid w:val="0059747D"/>
    <w:rsid w:val="00597A6F"/>
    <w:rsid w:val="005A0FF8"/>
    <w:rsid w:val="005A1036"/>
    <w:rsid w:val="005A1790"/>
    <w:rsid w:val="005A40EA"/>
    <w:rsid w:val="005A634E"/>
    <w:rsid w:val="005A7529"/>
    <w:rsid w:val="005A7D90"/>
    <w:rsid w:val="005B044D"/>
    <w:rsid w:val="005B0586"/>
    <w:rsid w:val="005B3458"/>
    <w:rsid w:val="005B367A"/>
    <w:rsid w:val="005B377C"/>
    <w:rsid w:val="005B378D"/>
    <w:rsid w:val="005B3E2F"/>
    <w:rsid w:val="005B5136"/>
    <w:rsid w:val="005B52AF"/>
    <w:rsid w:val="005B7BF7"/>
    <w:rsid w:val="005B7DBE"/>
    <w:rsid w:val="005C15D3"/>
    <w:rsid w:val="005C1A6C"/>
    <w:rsid w:val="005C22DC"/>
    <w:rsid w:val="005C3AE2"/>
    <w:rsid w:val="005C3C5C"/>
    <w:rsid w:val="005C5571"/>
    <w:rsid w:val="005C5664"/>
    <w:rsid w:val="005C58F0"/>
    <w:rsid w:val="005C6427"/>
    <w:rsid w:val="005C689A"/>
    <w:rsid w:val="005C7063"/>
    <w:rsid w:val="005C7ABD"/>
    <w:rsid w:val="005D368F"/>
    <w:rsid w:val="005D4124"/>
    <w:rsid w:val="005D41C8"/>
    <w:rsid w:val="005D4A51"/>
    <w:rsid w:val="005D56FE"/>
    <w:rsid w:val="005E0162"/>
    <w:rsid w:val="005E0821"/>
    <w:rsid w:val="005E2766"/>
    <w:rsid w:val="005E4786"/>
    <w:rsid w:val="005E53F7"/>
    <w:rsid w:val="005E5674"/>
    <w:rsid w:val="005E5C11"/>
    <w:rsid w:val="005E5CC2"/>
    <w:rsid w:val="005E61ED"/>
    <w:rsid w:val="005E6957"/>
    <w:rsid w:val="005F1311"/>
    <w:rsid w:val="005F1CDD"/>
    <w:rsid w:val="005F3E32"/>
    <w:rsid w:val="005F424F"/>
    <w:rsid w:val="005F4926"/>
    <w:rsid w:val="005F4AD4"/>
    <w:rsid w:val="005F58E5"/>
    <w:rsid w:val="005F5947"/>
    <w:rsid w:val="005F61D5"/>
    <w:rsid w:val="005F643A"/>
    <w:rsid w:val="005F7987"/>
    <w:rsid w:val="005F7E78"/>
    <w:rsid w:val="00601F52"/>
    <w:rsid w:val="00602C62"/>
    <w:rsid w:val="0060307A"/>
    <w:rsid w:val="006038D9"/>
    <w:rsid w:val="00603C77"/>
    <w:rsid w:val="00604D7B"/>
    <w:rsid w:val="006074B4"/>
    <w:rsid w:val="00610259"/>
    <w:rsid w:val="00610598"/>
    <w:rsid w:val="006106E8"/>
    <w:rsid w:val="00611A5F"/>
    <w:rsid w:val="00611C58"/>
    <w:rsid w:val="0061217A"/>
    <w:rsid w:val="006136A7"/>
    <w:rsid w:val="0061385F"/>
    <w:rsid w:val="00613DC9"/>
    <w:rsid w:val="0061521C"/>
    <w:rsid w:val="00616061"/>
    <w:rsid w:val="006162F1"/>
    <w:rsid w:val="00616FBE"/>
    <w:rsid w:val="00617046"/>
    <w:rsid w:val="006201B3"/>
    <w:rsid w:val="00620580"/>
    <w:rsid w:val="00620ED4"/>
    <w:rsid w:val="00622420"/>
    <w:rsid w:val="0062407E"/>
    <w:rsid w:val="00624569"/>
    <w:rsid w:val="006245EE"/>
    <w:rsid w:val="0062571B"/>
    <w:rsid w:val="00625A12"/>
    <w:rsid w:val="0062674E"/>
    <w:rsid w:val="006275A2"/>
    <w:rsid w:val="00627A63"/>
    <w:rsid w:val="00631413"/>
    <w:rsid w:val="00631501"/>
    <w:rsid w:val="00632458"/>
    <w:rsid w:val="006333E6"/>
    <w:rsid w:val="006353BB"/>
    <w:rsid w:val="006356D1"/>
    <w:rsid w:val="00636F74"/>
    <w:rsid w:val="00640DED"/>
    <w:rsid w:val="00641909"/>
    <w:rsid w:val="00641C8D"/>
    <w:rsid w:val="00641FAA"/>
    <w:rsid w:val="00642A07"/>
    <w:rsid w:val="00642C2F"/>
    <w:rsid w:val="00643990"/>
    <w:rsid w:val="00643B40"/>
    <w:rsid w:val="00645487"/>
    <w:rsid w:val="00646EA0"/>
    <w:rsid w:val="00650BAA"/>
    <w:rsid w:val="00650BC7"/>
    <w:rsid w:val="00653B83"/>
    <w:rsid w:val="00655161"/>
    <w:rsid w:val="006579ED"/>
    <w:rsid w:val="00657B74"/>
    <w:rsid w:val="00660CDA"/>
    <w:rsid w:val="00663399"/>
    <w:rsid w:val="00664366"/>
    <w:rsid w:val="00664FDB"/>
    <w:rsid w:val="006654C5"/>
    <w:rsid w:val="006666F3"/>
    <w:rsid w:val="00667666"/>
    <w:rsid w:val="00670AEF"/>
    <w:rsid w:val="00670ECA"/>
    <w:rsid w:val="006738A5"/>
    <w:rsid w:val="006743B1"/>
    <w:rsid w:val="006777F1"/>
    <w:rsid w:val="00680127"/>
    <w:rsid w:val="00680816"/>
    <w:rsid w:val="00680F90"/>
    <w:rsid w:val="00681245"/>
    <w:rsid w:val="00681718"/>
    <w:rsid w:val="006818AE"/>
    <w:rsid w:val="0068225B"/>
    <w:rsid w:val="006825C3"/>
    <w:rsid w:val="00682D03"/>
    <w:rsid w:val="00685BE9"/>
    <w:rsid w:val="00685C82"/>
    <w:rsid w:val="0068600F"/>
    <w:rsid w:val="00686F48"/>
    <w:rsid w:val="00687958"/>
    <w:rsid w:val="006913B6"/>
    <w:rsid w:val="00691A40"/>
    <w:rsid w:val="00691B62"/>
    <w:rsid w:val="0069257D"/>
    <w:rsid w:val="00694334"/>
    <w:rsid w:val="00694C8D"/>
    <w:rsid w:val="00695337"/>
    <w:rsid w:val="006958BC"/>
    <w:rsid w:val="00697F9D"/>
    <w:rsid w:val="006A1402"/>
    <w:rsid w:val="006A17C1"/>
    <w:rsid w:val="006A25E0"/>
    <w:rsid w:val="006A3029"/>
    <w:rsid w:val="006A32C2"/>
    <w:rsid w:val="006A3764"/>
    <w:rsid w:val="006A3ECD"/>
    <w:rsid w:val="006A44D7"/>
    <w:rsid w:val="006A5F9F"/>
    <w:rsid w:val="006A6617"/>
    <w:rsid w:val="006A6A37"/>
    <w:rsid w:val="006A7AF4"/>
    <w:rsid w:val="006B143F"/>
    <w:rsid w:val="006B182F"/>
    <w:rsid w:val="006B1FDD"/>
    <w:rsid w:val="006B2B67"/>
    <w:rsid w:val="006B2D25"/>
    <w:rsid w:val="006B4AE4"/>
    <w:rsid w:val="006B4BF2"/>
    <w:rsid w:val="006B4C16"/>
    <w:rsid w:val="006B6F99"/>
    <w:rsid w:val="006B73A5"/>
    <w:rsid w:val="006B7429"/>
    <w:rsid w:val="006C0ABA"/>
    <w:rsid w:val="006C0D69"/>
    <w:rsid w:val="006C1AB4"/>
    <w:rsid w:val="006C1FA8"/>
    <w:rsid w:val="006C2848"/>
    <w:rsid w:val="006C2C88"/>
    <w:rsid w:val="006C3A9B"/>
    <w:rsid w:val="006C3F2A"/>
    <w:rsid w:val="006C48B2"/>
    <w:rsid w:val="006C48C3"/>
    <w:rsid w:val="006C508E"/>
    <w:rsid w:val="006C6B94"/>
    <w:rsid w:val="006C72A1"/>
    <w:rsid w:val="006C7A88"/>
    <w:rsid w:val="006C7FB0"/>
    <w:rsid w:val="006D1ACC"/>
    <w:rsid w:val="006D231A"/>
    <w:rsid w:val="006D241E"/>
    <w:rsid w:val="006D241F"/>
    <w:rsid w:val="006D2FAB"/>
    <w:rsid w:val="006D3087"/>
    <w:rsid w:val="006D3BAB"/>
    <w:rsid w:val="006D3D42"/>
    <w:rsid w:val="006D739D"/>
    <w:rsid w:val="006E0B73"/>
    <w:rsid w:val="006E0C20"/>
    <w:rsid w:val="006E1839"/>
    <w:rsid w:val="006E19C2"/>
    <w:rsid w:val="006E19FC"/>
    <w:rsid w:val="006E2093"/>
    <w:rsid w:val="006E2937"/>
    <w:rsid w:val="006E3B71"/>
    <w:rsid w:val="006E40D7"/>
    <w:rsid w:val="006E4A8D"/>
    <w:rsid w:val="006E4E61"/>
    <w:rsid w:val="006E53AD"/>
    <w:rsid w:val="006E73F8"/>
    <w:rsid w:val="006E75C8"/>
    <w:rsid w:val="006F170F"/>
    <w:rsid w:val="006F2455"/>
    <w:rsid w:val="006F27A9"/>
    <w:rsid w:val="006F37D4"/>
    <w:rsid w:val="006F5BE1"/>
    <w:rsid w:val="006F735B"/>
    <w:rsid w:val="007001B9"/>
    <w:rsid w:val="00701B8A"/>
    <w:rsid w:val="00703268"/>
    <w:rsid w:val="007043FC"/>
    <w:rsid w:val="00705A27"/>
    <w:rsid w:val="00706C45"/>
    <w:rsid w:val="007101F3"/>
    <w:rsid w:val="0071086B"/>
    <w:rsid w:val="00711A66"/>
    <w:rsid w:val="0071275C"/>
    <w:rsid w:val="00712DAE"/>
    <w:rsid w:val="00713A0B"/>
    <w:rsid w:val="007146C4"/>
    <w:rsid w:val="0071490A"/>
    <w:rsid w:val="00714B83"/>
    <w:rsid w:val="007158B8"/>
    <w:rsid w:val="00715D31"/>
    <w:rsid w:val="00717CF2"/>
    <w:rsid w:val="007217BF"/>
    <w:rsid w:val="00721A2C"/>
    <w:rsid w:val="007223F5"/>
    <w:rsid w:val="00722589"/>
    <w:rsid w:val="00723697"/>
    <w:rsid w:val="007241F1"/>
    <w:rsid w:val="0072458B"/>
    <w:rsid w:val="0072499F"/>
    <w:rsid w:val="00724F1E"/>
    <w:rsid w:val="0072512D"/>
    <w:rsid w:val="00726B7E"/>
    <w:rsid w:val="00726EEE"/>
    <w:rsid w:val="00732140"/>
    <w:rsid w:val="0073407F"/>
    <w:rsid w:val="007345D2"/>
    <w:rsid w:val="00734C67"/>
    <w:rsid w:val="007369E4"/>
    <w:rsid w:val="00736A21"/>
    <w:rsid w:val="00741440"/>
    <w:rsid w:val="00744FDD"/>
    <w:rsid w:val="00746C3B"/>
    <w:rsid w:val="00747ED0"/>
    <w:rsid w:val="00750589"/>
    <w:rsid w:val="00752428"/>
    <w:rsid w:val="00753F94"/>
    <w:rsid w:val="007549E1"/>
    <w:rsid w:val="00754EFE"/>
    <w:rsid w:val="00755017"/>
    <w:rsid w:val="00755036"/>
    <w:rsid w:val="007604E4"/>
    <w:rsid w:val="007617D5"/>
    <w:rsid w:val="00761986"/>
    <w:rsid w:val="00763B4D"/>
    <w:rsid w:val="00763CD5"/>
    <w:rsid w:val="00764096"/>
    <w:rsid w:val="0076663C"/>
    <w:rsid w:val="00771FA7"/>
    <w:rsid w:val="00772096"/>
    <w:rsid w:val="0077444A"/>
    <w:rsid w:val="0077522B"/>
    <w:rsid w:val="00781998"/>
    <w:rsid w:val="00781DDB"/>
    <w:rsid w:val="007823A1"/>
    <w:rsid w:val="0078364D"/>
    <w:rsid w:val="007840D1"/>
    <w:rsid w:val="00786781"/>
    <w:rsid w:val="007875C5"/>
    <w:rsid w:val="0078769E"/>
    <w:rsid w:val="00790ACF"/>
    <w:rsid w:val="00791173"/>
    <w:rsid w:val="0079214F"/>
    <w:rsid w:val="00792837"/>
    <w:rsid w:val="00793A29"/>
    <w:rsid w:val="00796052"/>
    <w:rsid w:val="0079617A"/>
    <w:rsid w:val="0079735F"/>
    <w:rsid w:val="00797D98"/>
    <w:rsid w:val="007A0108"/>
    <w:rsid w:val="007A133D"/>
    <w:rsid w:val="007A1854"/>
    <w:rsid w:val="007A1AA7"/>
    <w:rsid w:val="007A211E"/>
    <w:rsid w:val="007A4A4F"/>
    <w:rsid w:val="007A66CB"/>
    <w:rsid w:val="007A6741"/>
    <w:rsid w:val="007A71B5"/>
    <w:rsid w:val="007A7E20"/>
    <w:rsid w:val="007B0CBB"/>
    <w:rsid w:val="007B1925"/>
    <w:rsid w:val="007B2681"/>
    <w:rsid w:val="007B2A96"/>
    <w:rsid w:val="007B4F5A"/>
    <w:rsid w:val="007C049A"/>
    <w:rsid w:val="007C18AE"/>
    <w:rsid w:val="007C1F17"/>
    <w:rsid w:val="007C21B0"/>
    <w:rsid w:val="007C4DC3"/>
    <w:rsid w:val="007C4F58"/>
    <w:rsid w:val="007C5B25"/>
    <w:rsid w:val="007C6094"/>
    <w:rsid w:val="007D1806"/>
    <w:rsid w:val="007D2A62"/>
    <w:rsid w:val="007D474D"/>
    <w:rsid w:val="007D4E16"/>
    <w:rsid w:val="007D7012"/>
    <w:rsid w:val="007E014F"/>
    <w:rsid w:val="007E0372"/>
    <w:rsid w:val="007E0747"/>
    <w:rsid w:val="007E07EC"/>
    <w:rsid w:val="007E2B70"/>
    <w:rsid w:val="007E3335"/>
    <w:rsid w:val="007E33DF"/>
    <w:rsid w:val="007E6210"/>
    <w:rsid w:val="007E646B"/>
    <w:rsid w:val="007E76B2"/>
    <w:rsid w:val="007E7727"/>
    <w:rsid w:val="007E7F5A"/>
    <w:rsid w:val="007F0A5F"/>
    <w:rsid w:val="007F2210"/>
    <w:rsid w:val="007F230B"/>
    <w:rsid w:val="007F2CE5"/>
    <w:rsid w:val="007F3DCF"/>
    <w:rsid w:val="007F4220"/>
    <w:rsid w:val="007F5455"/>
    <w:rsid w:val="007F5BA8"/>
    <w:rsid w:val="007F65DF"/>
    <w:rsid w:val="007F7DE3"/>
    <w:rsid w:val="00800477"/>
    <w:rsid w:val="00802873"/>
    <w:rsid w:val="00805D9F"/>
    <w:rsid w:val="00805DBE"/>
    <w:rsid w:val="00811A7F"/>
    <w:rsid w:val="0081245B"/>
    <w:rsid w:val="00812D32"/>
    <w:rsid w:val="00814051"/>
    <w:rsid w:val="008150C8"/>
    <w:rsid w:val="00815F1F"/>
    <w:rsid w:val="00816AAA"/>
    <w:rsid w:val="00816CAF"/>
    <w:rsid w:val="0081787F"/>
    <w:rsid w:val="00820F15"/>
    <w:rsid w:val="00821594"/>
    <w:rsid w:val="00823A43"/>
    <w:rsid w:val="00824331"/>
    <w:rsid w:val="008245FE"/>
    <w:rsid w:val="00825B9B"/>
    <w:rsid w:val="00826FAC"/>
    <w:rsid w:val="00827E87"/>
    <w:rsid w:val="0083048D"/>
    <w:rsid w:val="00830E7F"/>
    <w:rsid w:val="00830FE4"/>
    <w:rsid w:val="0083248A"/>
    <w:rsid w:val="0083315D"/>
    <w:rsid w:val="00833B57"/>
    <w:rsid w:val="00834A77"/>
    <w:rsid w:val="008355A5"/>
    <w:rsid w:val="00836849"/>
    <w:rsid w:val="00842608"/>
    <w:rsid w:val="00843968"/>
    <w:rsid w:val="00844381"/>
    <w:rsid w:val="00844751"/>
    <w:rsid w:val="008450FD"/>
    <w:rsid w:val="00845EDE"/>
    <w:rsid w:val="008464E8"/>
    <w:rsid w:val="008472BC"/>
    <w:rsid w:val="00847FEC"/>
    <w:rsid w:val="0085162A"/>
    <w:rsid w:val="00852CA9"/>
    <w:rsid w:val="0085329F"/>
    <w:rsid w:val="008534C3"/>
    <w:rsid w:val="0085388D"/>
    <w:rsid w:val="00855B33"/>
    <w:rsid w:val="0086195D"/>
    <w:rsid w:val="00861E0F"/>
    <w:rsid w:val="00862F8F"/>
    <w:rsid w:val="008633E3"/>
    <w:rsid w:val="00863948"/>
    <w:rsid w:val="008660E2"/>
    <w:rsid w:val="0086630D"/>
    <w:rsid w:val="00870B20"/>
    <w:rsid w:val="00871D37"/>
    <w:rsid w:val="008724E5"/>
    <w:rsid w:val="0087278F"/>
    <w:rsid w:val="00872E53"/>
    <w:rsid w:val="00873A74"/>
    <w:rsid w:val="00873DDB"/>
    <w:rsid w:val="00874843"/>
    <w:rsid w:val="008759F4"/>
    <w:rsid w:val="00876063"/>
    <w:rsid w:val="00877031"/>
    <w:rsid w:val="0087732E"/>
    <w:rsid w:val="0088060E"/>
    <w:rsid w:val="00880BD7"/>
    <w:rsid w:val="0088214E"/>
    <w:rsid w:val="0088235E"/>
    <w:rsid w:val="00883770"/>
    <w:rsid w:val="00883B94"/>
    <w:rsid w:val="00883BD3"/>
    <w:rsid w:val="008846D6"/>
    <w:rsid w:val="00885645"/>
    <w:rsid w:val="0088695C"/>
    <w:rsid w:val="008876CC"/>
    <w:rsid w:val="00887B28"/>
    <w:rsid w:val="00887BD3"/>
    <w:rsid w:val="00887D3A"/>
    <w:rsid w:val="008907F2"/>
    <w:rsid w:val="00890A90"/>
    <w:rsid w:val="00891080"/>
    <w:rsid w:val="00892E0B"/>
    <w:rsid w:val="00894771"/>
    <w:rsid w:val="008969A9"/>
    <w:rsid w:val="008969BD"/>
    <w:rsid w:val="0089736F"/>
    <w:rsid w:val="00897A27"/>
    <w:rsid w:val="008A08FA"/>
    <w:rsid w:val="008A1581"/>
    <w:rsid w:val="008A3957"/>
    <w:rsid w:val="008A4B18"/>
    <w:rsid w:val="008A4C49"/>
    <w:rsid w:val="008A4D89"/>
    <w:rsid w:val="008A5D66"/>
    <w:rsid w:val="008A5FA2"/>
    <w:rsid w:val="008A635E"/>
    <w:rsid w:val="008A7AC0"/>
    <w:rsid w:val="008B0031"/>
    <w:rsid w:val="008B112F"/>
    <w:rsid w:val="008B2233"/>
    <w:rsid w:val="008B27F4"/>
    <w:rsid w:val="008B3A6A"/>
    <w:rsid w:val="008B40FC"/>
    <w:rsid w:val="008B5222"/>
    <w:rsid w:val="008B6BD9"/>
    <w:rsid w:val="008B6C3D"/>
    <w:rsid w:val="008B783D"/>
    <w:rsid w:val="008B7906"/>
    <w:rsid w:val="008C0EAC"/>
    <w:rsid w:val="008C1376"/>
    <w:rsid w:val="008C1A1A"/>
    <w:rsid w:val="008C1A75"/>
    <w:rsid w:val="008C1BC6"/>
    <w:rsid w:val="008C2D05"/>
    <w:rsid w:val="008C40DB"/>
    <w:rsid w:val="008C52F1"/>
    <w:rsid w:val="008C5BA9"/>
    <w:rsid w:val="008C5EAB"/>
    <w:rsid w:val="008C68E4"/>
    <w:rsid w:val="008C6BBA"/>
    <w:rsid w:val="008C783B"/>
    <w:rsid w:val="008C7B6C"/>
    <w:rsid w:val="008D0343"/>
    <w:rsid w:val="008D0CF5"/>
    <w:rsid w:val="008D1BCC"/>
    <w:rsid w:val="008D2CD0"/>
    <w:rsid w:val="008D3574"/>
    <w:rsid w:val="008D3F56"/>
    <w:rsid w:val="008D41E7"/>
    <w:rsid w:val="008D47D8"/>
    <w:rsid w:val="008D5D67"/>
    <w:rsid w:val="008D75FD"/>
    <w:rsid w:val="008E003C"/>
    <w:rsid w:val="008E0C8E"/>
    <w:rsid w:val="008E27FE"/>
    <w:rsid w:val="008E3349"/>
    <w:rsid w:val="008E3A0C"/>
    <w:rsid w:val="008E3EEB"/>
    <w:rsid w:val="008E69CA"/>
    <w:rsid w:val="008E6EED"/>
    <w:rsid w:val="008E7F45"/>
    <w:rsid w:val="008F10CC"/>
    <w:rsid w:val="008F1B09"/>
    <w:rsid w:val="008F24D0"/>
    <w:rsid w:val="008F496C"/>
    <w:rsid w:val="008F4AE7"/>
    <w:rsid w:val="008F5F0C"/>
    <w:rsid w:val="00901D08"/>
    <w:rsid w:val="0090263A"/>
    <w:rsid w:val="009034FB"/>
    <w:rsid w:val="009056B6"/>
    <w:rsid w:val="00906CE8"/>
    <w:rsid w:val="0090714A"/>
    <w:rsid w:val="009104C3"/>
    <w:rsid w:val="00911665"/>
    <w:rsid w:val="009116EF"/>
    <w:rsid w:val="00913D63"/>
    <w:rsid w:val="009148A3"/>
    <w:rsid w:val="00914E6D"/>
    <w:rsid w:val="00914EDA"/>
    <w:rsid w:val="0091683A"/>
    <w:rsid w:val="00921886"/>
    <w:rsid w:val="00921988"/>
    <w:rsid w:val="00921FDB"/>
    <w:rsid w:val="00922262"/>
    <w:rsid w:val="00922451"/>
    <w:rsid w:val="00922CB9"/>
    <w:rsid w:val="00922E13"/>
    <w:rsid w:val="00923149"/>
    <w:rsid w:val="00924F8C"/>
    <w:rsid w:val="0092539C"/>
    <w:rsid w:val="009264ED"/>
    <w:rsid w:val="00926C65"/>
    <w:rsid w:val="00931625"/>
    <w:rsid w:val="00933734"/>
    <w:rsid w:val="00934756"/>
    <w:rsid w:val="00934762"/>
    <w:rsid w:val="00935154"/>
    <w:rsid w:val="009355E2"/>
    <w:rsid w:val="00937A4A"/>
    <w:rsid w:val="00937A83"/>
    <w:rsid w:val="0094135B"/>
    <w:rsid w:val="009422C5"/>
    <w:rsid w:val="00943FCA"/>
    <w:rsid w:val="009458F3"/>
    <w:rsid w:val="00945925"/>
    <w:rsid w:val="00945D81"/>
    <w:rsid w:val="009461F6"/>
    <w:rsid w:val="00946730"/>
    <w:rsid w:val="00946D3F"/>
    <w:rsid w:val="00947255"/>
    <w:rsid w:val="0095169B"/>
    <w:rsid w:val="0095169C"/>
    <w:rsid w:val="0095475B"/>
    <w:rsid w:val="00955465"/>
    <w:rsid w:val="0095618F"/>
    <w:rsid w:val="00956E72"/>
    <w:rsid w:val="00957693"/>
    <w:rsid w:val="009577A9"/>
    <w:rsid w:val="00957F59"/>
    <w:rsid w:val="0096175A"/>
    <w:rsid w:val="00961B7D"/>
    <w:rsid w:val="00963D5C"/>
    <w:rsid w:val="009650A5"/>
    <w:rsid w:val="0096579D"/>
    <w:rsid w:val="009658B2"/>
    <w:rsid w:val="00965C2C"/>
    <w:rsid w:val="00965D3A"/>
    <w:rsid w:val="00965D45"/>
    <w:rsid w:val="00972782"/>
    <w:rsid w:val="009730C1"/>
    <w:rsid w:val="00976903"/>
    <w:rsid w:val="0097760E"/>
    <w:rsid w:val="0098003C"/>
    <w:rsid w:val="00980681"/>
    <w:rsid w:val="009806A0"/>
    <w:rsid w:val="00980CC5"/>
    <w:rsid w:val="00981D9D"/>
    <w:rsid w:val="00982991"/>
    <w:rsid w:val="00982C10"/>
    <w:rsid w:val="0098329B"/>
    <w:rsid w:val="0098472B"/>
    <w:rsid w:val="00984E4D"/>
    <w:rsid w:val="00984F59"/>
    <w:rsid w:val="009856A7"/>
    <w:rsid w:val="00986340"/>
    <w:rsid w:val="00986BC5"/>
    <w:rsid w:val="00986D01"/>
    <w:rsid w:val="00986E6B"/>
    <w:rsid w:val="00991BA5"/>
    <w:rsid w:val="00994A7E"/>
    <w:rsid w:val="0099523B"/>
    <w:rsid w:val="00995B25"/>
    <w:rsid w:val="009960A8"/>
    <w:rsid w:val="00996499"/>
    <w:rsid w:val="00996970"/>
    <w:rsid w:val="00996B96"/>
    <w:rsid w:val="00997EB8"/>
    <w:rsid w:val="009A0799"/>
    <w:rsid w:val="009A1CD9"/>
    <w:rsid w:val="009A22D8"/>
    <w:rsid w:val="009A2527"/>
    <w:rsid w:val="009A311E"/>
    <w:rsid w:val="009A48D0"/>
    <w:rsid w:val="009A64A0"/>
    <w:rsid w:val="009A707B"/>
    <w:rsid w:val="009A73E6"/>
    <w:rsid w:val="009B021C"/>
    <w:rsid w:val="009B1BDB"/>
    <w:rsid w:val="009B3581"/>
    <w:rsid w:val="009B585C"/>
    <w:rsid w:val="009B69EC"/>
    <w:rsid w:val="009B6C6B"/>
    <w:rsid w:val="009C073D"/>
    <w:rsid w:val="009C08BF"/>
    <w:rsid w:val="009C0B97"/>
    <w:rsid w:val="009C1CD1"/>
    <w:rsid w:val="009C31B4"/>
    <w:rsid w:val="009C337C"/>
    <w:rsid w:val="009C3DB4"/>
    <w:rsid w:val="009C4107"/>
    <w:rsid w:val="009C42AB"/>
    <w:rsid w:val="009C4D78"/>
    <w:rsid w:val="009C53BE"/>
    <w:rsid w:val="009C5624"/>
    <w:rsid w:val="009C5BFE"/>
    <w:rsid w:val="009C5EFD"/>
    <w:rsid w:val="009C6674"/>
    <w:rsid w:val="009C771F"/>
    <w:rsid w:val="009C77D9"/>
    <w:rsid w:val="009D051D"/>
    <w:rsid w:val="009D1264"/>
    <w:rsid w:val="009D2A39"/>
    <w:rsid w:val="009D3743"/>
    <w:rsid w:val="009D3B29"/>
    <w:rsid w:val="009D402B"/>
    <w:rsid w:val="009D4552"/>
    <w:rsid w:val="009D54B1"/>
    <w:rsid w:val="009D550D"/>
    <w:rsid w:val="009D5ACE"/>
    <w:rsid w:val="009D65DA"/>
    <w:rsid w:val="009E0146"/>
    <w:rsid w:val="009E3F60"/>
    <w:rsid w:val="009E50DB"/>
    <w:rsid w:val="009E7A5D"/>
    <w:rsid w:val="009E7B6B"/>
    <w:rsid w:val="009F0B26"/>
    <w:rsid w:val="009F1331"/>
    <w:rsid w:val="009F1376"/>
    <w:rsid w:val="009F2AB1"/>
    <w:rsid w:val="009F54C3"/>
    <w:rsid w:val="009F5BEC"/>
    <w:rsid w:val="009F5F68"/>
    <w:rsid w:val="009F6224"/>
    <w:rsid w:val="009F6768"/>
    <w:rsid w:val="009F68EA"/>
    <w:rsid w:val="009F77FF"/>
    <w:rsid w:val="009F7A6D"/>
    <w:rsid w:val="009F7C26"/>
    <w:rsid w:val="00A003C7"/>
    <w:rsid w:val="00A00B17"/>
    <w:rsid w:val="00A01A6D"/>
    <w:rsid w:val="00A01B90"/>
    <w:rsid w:val="00A020C7"/>
    <w:rsid w:val="00A02CCA"/>
    <w:rsid w:val="00A03278"/>
    <w:rsid w:val="00A0351F"/>
    <w:rsid w:val="00A046DA"/>
    <w:rsid w:val="00A05390"/>
    <w:rsid w:val="00A05752"/>
    <w:rsid w:val="00A0627A"/>
    <w:rsid w:val="00A068F0"/>
    <w:rsid w:val="00A06A94"/>
    <w:rsid w:val="00A06F2B"/>
    <w:rsid w:val="00A071CC"/>
    <w:rsid w:val="00A12664"/>
    <w:rsid w:val="00A1285D"/>
    <w:rsid w:val="00A16FB1"/>
    <w:rsid w:val="00A1733A"/>
    <w:rsid w:val="00A1763F"/>
    <w:rsid w:val="00A20A6D"/>
    <w:rsid w:val="00A21D82"/>
    <w:rsid w:val="00A22277"/>
    <w:rsid w:val="00A230E5"/>
    <w:rsid w:val="00A232CC"/>
    <w:rsid w:val="00A23B7F"/>
    <w:rsid w:val="00A23FD3"/>
    <w:rsid w:val="00A25590"/>
    <w:rsid w:val="00A260E1"/>
    <w:rsid w:val="00A27BA8"/>
    <w:rsid w:val="00A31283"/>
    <w:rsid w:val="00A32C21"/>
    <w:rsid w:val="00A34684"/>
    <w:rsid w:val="00A37A78"/>
    <w:rsid w:val="00A37C5D"/>
    <w:rsid w:val="00A40919"/>
    <w:rsid w:val="00A41468"/>
    <w:rsid w:val="00A42FDD"/>
    <w:rsid w:val="00A43B19"/>
    <w:rsid w:val="00A43BB6"/>
    <w:rsid w:val="00A461F2"/>
    <w:rsid w:val="00A464DA"/>
    <w:rsid w:val="00A46D0B"/>
    <w:rsid w:val="00A4703C"/>
    <w:rsid w:val="00A47AC9"/>
    <w:rsid w:val="00A47FC9"/>
    <w:rsid w:val="00A50DD5"/>
    <w:rsid w:val="00A511C8"/>
    <w:rsid w:val="00A51C60"/>
    <w:rsid w:val="00A52B0E"/>
    <w:rsid w:val="00A538EC"/>
    <w:rsid w:val="00A53B58"/>
    <w:rsid w:val="00A556B3"/>
    <w:rsid w:val="00A557E1"/>
    <w:rsid w:val="00A558FA"/>
    <w:rsid w:val="00A55A40"/>
    <w:rsid w:val="00A562CB"/>
    <w:rsid w:val="00A56784"/>
    <w:rsid w:val="00A60D13"/>
    <w:rsid w:val="00A60FC2"/>
    <w:rsid w:val="00A6177A"/>
    <w:rsid w:val="00A619EE"/>
    <w:rsid w:val="00A62E4C"/>
    <w:rsid w:val="00A64A8A"/>
    <w:rsid w:val="00A6585E"/>
    <w:rsid w:val="00A7056B"/>
    <w:rsid w:val="00A716A4"/>
    <w:rsid w:val="00A728AB"/>
    <w:rsid w:val="00A728CD"/>
    <w:rsid w:val="00A7362E"/>
    <w:rsid w:val="00A741BA"/>
    <w:rsid w:val="00A745F8"/>
    <w:rsid w:val="00A75072"/>
    <w:rsid w:val="00A77DCE"/>
    <w:rsid w:val="00A8264D"/>
    <w:rsid w:val="00A82DC7"/>
    <w:rsid w:val="00A83CF7"/>
    <w:rsid w:val="00A84BE3"/>
    <w:rsid w:val="00A853FF"/>
    <w:rsid w:val="00A85745"/>
    <w:rsid w:val="00A85956"/>
    <w:rsid w:val="00A86776"/>
    <w:rsid w:val="00A86A9D"/>
    <w:rsid w:val="00A9148B"/>
    <w:rsid w:val="00A91D94"/>
    <w:rsid w:val="00A92107"/>
    <w:rsid w:val="00A9295F"/>
    <w:rsid w:val="00A934C2"/>
    <w:rsid w:val="00A94064"/>
    <w:rsid w:val="00A94579"/>
    <w:rsid w:val="00A94AE4"/>
    <w:rsid w:val="00A97848"/>
    <w:rsid w:val="00AA07EC"/>
    <w:rsid w:val="00AA0953"/>
    <w:rsid w:val="00AA30BA"/>
    <w:rsid w:val="00AA356C"/>
    <w:rsid w:val="00AA393C"/>
    <w:rsid w:val="00AA543C"/>
    <w:rsid w:val="00AB1156"/>
    <w:rsid w:val="00AB1957"/>
    <w:rsid w:val="00AB2183"/>
    <w:rsid w:val="00AB285C"/>
    <w:rsid w:val="00AB476C"/>
    <w:rsid w:val="00AB47B6"/>
    <w:rsid w:val="00AC14A6"/>
    <w:rsid w:val="00AC3A45"/>
    <w:rsid w:val="00AC6C17"/>
    <w:rsid w:val="00AC7FF1"/>
    <w:rsid w:val="00AD0084"/>
    <w:rsid w:val="00AD0706"/>
    <w:rsid w:val="00AD2200"/>
    <w:rsid w:val="00AD2D3F"/>
    <w:rsid w:val="00AD422C"/>
    <w:rsid w:val="00AD5FCC"/>
    <w:rsid w:val="00AD6280"/>
    <w:rsid w:val="00AE410A"/>
    <w:rsid w:val="00AE4653"/>
    <w:rsid w:val="00AE47DB"/>
    <w:rsid w:val="00AE5077"/>
    <w:rsid w:val="00AE6587"/>
    <w:rsid w:val="00AE76AD"/>
    <w:rsid w:val="00AF073F"/>
    <w:rsid w:val="00AF09F7"/>
    <w:rsid w:val="00AF193B"/>
    <w:rsid w:val="00AF29DB"/>
    <w:rsid w:val="00AF2A1C"/>
    <w:rsid w:val="00AF2E50"/>
    <w:rsid w:val="00AF2F6C"/>
    <w:rsid w:val="00AF42B3"/>
    <w:rsid w:val="00AF5658"/>
    <w:rsid w:val="00AF67E3"/>
    <w:rsid w:val="00B00028"/>
    <w:rsid w:val="00B0122E"/>
    <w:rsid w:val="00B01BA9"/>
    <w:rsid w:val="00B01C6F"/>
    <w:rsid w:val="00B01E93"/>
    <w:rsid w:val="00B0252A"/>
    <w:rsid w:val="00B04CFA"/>
    <w:rsid w:val="00B055AE"/>
    <w:rsid w:val="00B064D4"/>
    <w:rsid w:val="00B06ACB"/>
    <w:rsid w:val="00B07201"/>
    <w:rsid w:val="00B0797B"/>
    <w:rsid w:val="00B07AD9"/>
    <w:rsid w:val="00B10048"/>
    <w:rsid w:val="00B107E8"/>
    <w:rsid w:val="00B1149F"/>
    <w:rsid w:val="00B12AF0"/>
    <w:rsid w:val="00B12BB1"/>
    <w:rsid w:val="00B1421A"/>
    <w:rsid w:val="00B14C16"/>
    <w:rsid w:val="00B14CE9"/>
    <w:rsid w:val="00B15DEE"/>
    <w:rsid w:val="00B165BF"/>
    <w:rsid w:val="00B17A8C"/>
    <w:rsid w:val="00B20046"/>
    <w:rsid w:val="00B2050C"/>
    <w:rsid w:val="00B22178"/>
    <w:rsid w:val="00B2338C"/>
    <w:rsid w:val="00B23E41"/>
    <w:rsid w:val="00B24281"/>
    <w:rsid w:val="00B27AE5"/>
    <w:rsid w:val="00B309AA"/>
    <w:rsid w:val="00B32E4B"/>
    <w:rsid w:val="00B332A4"/>
    <w:rsid w:val="00B33FAB"/>
    <w:rsid w:val="00B34159"/>
    <w:rsid w:val="00B3439D"/>
    <w:rsid w:val="00B3470F"/>
    <w:rsid w:val="00B36BEE"/>
    <w:rsid w:val="00B373CC"/>
    <w:rsid w:val="00B37656"/>
    <w:rsid w:val="00B37FAF"/>
    <w:rsid w:val="00B40026"/>
    <w:rsid w:val="00B41728"/>
    <w:rsid w:val="00B42191"/>
    <w:rsid w:val="00B44539"/>
    <w:rsid w:val="00B44B48"/>
    <w:rsid w:val="00B47D87"/>
    <w:rsid w:val="00B47FE3"/>
    <w:rsid w:val="00B50AC4"/>
    <w:rsid w:val="00B51182"/>
    <w:rsid w:val="00B51358"/>
    <w:rsid w:val="00B5222A"/>
    <w:rsid w:val="00B542A7"/>
    <w:rsid w:val="00B55336"/>
    <w:rsid w:val="00B61183"/>
    <w:rsid w:val="00B62380"/>
    <w:rsid w:val="00B63233"/>
    <w:rsid w:val="00B64C17"/>
    <w:rsid w:val="00B65392"/>
    <w:rsid w:val="00B65C29"/>
    <w:rsid w:val="00B66D1A"/>
    <w:rsid w:val="00B670AD"/>
    <w:rsid w:val="00B67126"/>
    <w:rsid w:val="00B67D3D"/>
    <w:rsid w:val="00B702A2"/>
    <w:rsid w:val="00B714AF"/>
    <w:rsid w:val="00B72159"/>
    <w:rsid w:val="00B73CA9"/>
    <w:rsid w:val="00B74235"/>
    <w:rsid w:val="00B74909"/>
    <w:rsid w:val="00B74A78"/>
    <w:rsid w:val="00B74C8C"/>
    <w:rsid w:val="00B755EC"/>
    <w:rsid w:val="00B76656"/>
    <w:rsid w:val="00B77647"/>
    <w:rsid w:val="00B77AF8"/>
    <w:rsid w:val="00B80F43"/>
    <w:rsid w:val="00B82771"/>
    <w:rsid w:val="00B838A8"/>
    <w:rsid w:val="00B83E70"/>
    <w:rsid w:val="00B8592B"/>
    <w:rsid w:val="00B8613C"/>
    <w:rsid w:val="00B90035"/>
    <w:rsid w:val="00B905BC"/>
    <w:rsid w:val="00B909BD"/>
    <w:rsid w:val="00B91473"/>
    <w:rsid w:val="00B91524"/>
    <w:rsid w:val="00B9199C"/>
    <w:rsid w:val="00B925F2"/>
    <w:rsid w:val="00B92A7E"/>
    <w:rsid w:val="00B93AEC"/>
    <w:rsid w:val="00B93EF1"/>
    <w:rsid w:val="00B9564C"/>
    <w:rsid w:val="00B958F3"/>
    <w:rsid w:val="00B96033"/>
    <w:rsid w:val="00B9655B"/>
    <w:rsid w:val="00B966D7"/>
    <w:rsid w:val="00B969A1"/>
    <w:rsid w:val="00B96A0A"/>
    <w:rsid w:val="00B96FD5"/>
    <w:rsid w:val="00B972F2"/>
    <w:rsid w:val="00BA255C"/>
    <w:rsid w:val="00BA3C83"/>
    <w:rsid w:val="00BA53E4"/>
    <w:rsid w:val="00BA5765"/>
    <w:rsid w:val="00BA5C5C"/>
    <w:rsid w:val="00BA6EE6"/>
    <w:rsid w:val="00BA7851"/>
    <w:rsid w:val="00BB0103"/>
    <w:rsid w:val="00BB03A7"/>
    <w:rsid w:val="00BB1F9C"/>
    <w:rsid w:val="00BB3E02"/>
    <w:rsid w:val="00BB5DF3"/>
    <w:rsid w:val="00BB6374"/>
    <w:rsid w:val="00BB6816"/>
    <w:rsid w:val="00BB722E"/>
    <w:rsid w:val="00BC0D89"/>
    <w:rsid w:val="00BC13F3"/>
    <w:rsid w:val="00BC1600"/>
    <w:rsid w:val="00BC190E"/>
    <w:rsid w:val="00BC226F"/>
    <w:rsid w:val="00BC42B3"/>
    <w:rsid w:val="00BC4612"/>
    <w:rsid w:val="00BC51B2"/>
    <w:rsid w:val="00BC5417"/>
    <w:rsid w:val="00BC5DCF"/>
    <w:rsid w:val="00BC667E"/>
    <w:rsid w:val="00BC684E"/>
    <w:rsid w:val="00BD1F94"/>
    <w:rsid w:val="00BD3338"/>
    <w:rsid w:val="00BD354C"/>
    <w:rsid w:val="00BD39C3"/>
    <w:rsid w:val="00BD437D"/>
    <w:rsid w:val="00BD6642"/>
    <w:rsid w:val="00BD67D0"/>
    <w:rsid w:val="00BD77E2"/>
    <w:rsid w:val="00BD7A84"/>
    <w:rsid w:val="00BE1CAC"/>
    <w:rsid w:val="00BE322C"/>
    <w:rsid w:val="00BE331D"/>
    <w:rsid w:val="00BE3533"/>
    <w:rsid w:val="00BE3A53"/>
    <w:rsid w:val="00BE47DB"/>
    <w:rsid w:val="00BE590A"/>
    <w:rsid w:val="00BE5932"/>
    <w:rsid w:val="00BE74E1"/>
    <w:rsid w:val="00BE791A"/>
    <w:rsid w:val="00BF033C"/>
    <w:rsid w:val="00BF1576"/>
    <w:rsid w:val="00BF2E13"/>
    <w:rsid w:val="00BF2EAA"/>
    <w:rsid w:val="00BF4414"/>
    <w:rsid w:val="00BF64A5"/>
    <w:rsid w:val="00BF6960"/>
    <w:rsid w:val="00BF6C33"/>
    <w:rsid w:val="00C015DA"/>
    <w:rsid w:val="00C0287A"/>
    <w:rsid w:val="00C06C52"/>
    <w:rsid w:val="00C0720F"/>
    <w:rsid w:val="00C07366"/>
    <w:rsid w:val="00C0792A"/>
    <w:rsid w:val="00C10887"/>
    <w:rsid w:val="00C10BAC"/>
    <w:rsid w:val="00C128AB"/>
    <w:rsid w:val="00C15555"/>
    <w:rsid w:val="00C163AD"/>
    <w:rsid w:val="00C177E5"/>
    <w:rsid w:val="00C20760"/>
    <w:rsid w:val="00C217B2"/>
    <w:rsid w:val="00C21F2A"/>
    <w:rsid w:val="00C2202A"/>
    <w:rsid w:val="00C22F78"/>
    <w:rsid w:val="00C3289A"/>
    <w:rsid w:val="00C36BD0"/>
    <w:rsid w:val="00C36D64"/>
    <w:rsid w:val="00C409A0"/>
    <w:rsid w:val="00C4384E"/>
    <w:rsid w:val="00C43D36"/>
    <w:rsid w:val="00C44A6F"/>
    <w:rsid w:val="00C44CC4"/>
    <w:rsid w:val="00C45779"/>
    <w:rsid w:val="00C45F53"/>
    <w:rsid w:val="00C46202"/>
    <w:rsid w:val="00C46FB9"/>
    <w:rsid w:val="00C52468"/>
    <w:rsid w:val="00C52DA4"/>
    <w:rsid w:val="00C52E56"/>
    <w:rsid w:val="00C55EB8"/>
    <w:rsid w:val="00C56027"/>
    <w:rsid w:val="00C56709"/>
    <w:rsid w:val="00C56B54"/>
    <w:rsid w:val="00C57ED1"/>
    <w:rsid w:val="00C6028C"/>
    <w:rsid w:val="00C6130B"/>
    <w:rsid w:val="00C614B1"/>
    <w:rsid w:val="00C61662"/>
    <w:rsid w:val="00C62B18"/>
    <w:rsid w:val="00C6365C"/>
    <w:rsid w:val="00C65C9D"/>
    <w:rsid w:val="00C66478"/>
    <w:rsid w:val="00C666B6"/>
    <w:rsid w:val="00C714ED"/>
    <w:rsid w:val="00C728AA"/>
    <w:rsid w:val="00C72B3E"/>
    <w:rsid w:val="00C760C0"/>
    <w:rsid w:val="00C763E5"/>
    <w:rsid w:val="00C80563"/>
    <w:rsid w:val="00C81923"/>
    <w:rsid w:val="00C81C2A"/>
    <w:rsid w:val="00C81DEA"/>
    <w:rsid w:val="00C82A4C"/>
    <w:rsid w:val="00C8350B"/>
    <w:rsid w:val="00C83E79"/>
    <w:rsid w:val="00C84879"/>
    <w:rsid w:val="00C85585"/>
    <w:rsid w:val="00C86190"/>
    <w:rsid w:val="00C87507"/>
    <w:rsid w:val="00C87756"/>
    <w:rsid w:val="00C91D58"/>
    <w:rsid w:val="00C91FBD"/>
    <w:rsid w:val="00C944C6"/>
    <w:rsid w:val="00C94BC7"/>
    <w:rsid w:val="00C95309"/>
    <w:rsid w:val="00C97212"/>
    <w:rsid w:val="00C9754A"/>
    <w:rsid w:val="00C97B84"/>
    <w:rsid w:val="00CA0DF7"/>
    <w:rsid w:val="00CA0ED8"/>
    <w:rsid w:val="00CA271D"/>
    <w:rsid w:val="00CA3313"/>
    <w:rsid w:val="00CA4222"/>
    <w:rsid w:val="00CA4277"/>
    <w:rsid w:val="00CA5A45"/>
    <w:rsid w:val="00CA6915"/>
    <w:rsid w:val="00CB0AFF"/>
    <w:rsid w:val="00CB2031"/>
    <w:rsid w:val="00CB21A0"/>
    <w:rsid w:val="00CB2679"/>
    <w:rsid w:val="00CB2B47"/>
    <w:rsid w:val="00CB3CB8"/>
    <w:rsid w:val="00CB4122"/>
    <w:rsid w:val="00CB44A1"/>
    <w:rsid w:val="00CB465A"/>
    <w:rsid w:val="00CB4BEC"/>
    <w:rsid w:val="00CB4F7C"/>
    <w:rsid w:val="00CB526E"/>
    <w:rsid w:val="00CB562D"/>
    <w:rsid w:val="00CB60A0"/>
    <w:rsid w:val="00CB76DD"/>
    <w:rsid w:val="00CC005F"/>
    <w:rsid w:val="00CC32A1"/>
    <w:rsid w:val="00CC5612"/>
    <w:rsid w:val="00CC6E16"/>
    <w:rsid w:val="00CC7577"/>
    <w:rsid w:val="00CD11B6"/>
    <w:rsid w:val="00CD14A1"/>
    <w:rsid w:val="00CD1673"/>
    <w:rsid w:val="00CD2FF5"/>
    <w:rsid w:val="00CD328C"/>
    <w:rsid w:val="00CD541B"/>
    <w:rsid w:val="00CD6464"/>
    <w:rsid w:val="00CD6FA7"/>
    <w:rsid w:val="00CD76AC"/>
    <w:rsid w:val="00CE0732"/>
    <w:rsid w:val="00CE41A6"/>
    <w:rsid w:val="00CE6453"/>
    <w:rsid w:val="00CE7AD2"/>
    <w:rsid w:val="00CF01AA"/>
    <w:rsid w:val="00CF120A"/>
    <w:rsid w:val="00CF35A6"/>
    <w:rsid w:val="00CF3649"/>
    <w:rsid w:val="00CF3864"/>
    <w:rsid w:val="00CF460B"/>
    <w:rsid w:val="00CF4956"/>
    <w:rsid w:val="00CF4CBC"/>
    <w:rsid w:val="00CF4F19"/>
    <w:rsid w:val="00CF5CE1"/>
    <w:rsid w:val="00CF789D"/>
    <w:rsid w:val="00CF7AFD"/>
    <w:rsid w:val="00D00393"/>
    <w:rsid w:val="00D0167B"/>
    <w:rsid w:val="00D01C86"/>
    <w:rsid w:val="00D02C64"/>
    <w:rsid w:val="00D03060"/>
    <w:rsid w:val="00D03094"/>
    <w:rsid w:val="00D033B6"/>
    <w:rsid w:val="00D038BA"/>
    <w:rsid w:val="00D03DAB"/>
    <w:rsid w:val="00D0499B"/>
    <w:rsid w:val="00D05018"/>
    <w:rsid w:val="00D05EF1"/>
    <w:rsid w:val="00D064DD"/>
    <w:rsid w:val="00D07767"/>
    <w:rsid w:val="00D1028C"/>
    <w:rsid w:val="00D12BA8"/>
    <w:rsid w:val="00D12E52"/>
    <w:rsid w:val="00D142FD"/>
    <w:rsid w:val="00D15EE9"/>
    <w:rsid w:val="00D16FBB"/>
    <w:rsid w:val="00D174F3"/>
    <w:rsid w:val="00D17B18"/>
    <w:rsid w:val="00D20E4B"/>
    <w:rsid w:val="00D22A9A"/>
    <w:rsid w:val="00D23A99"/>
    <w:rsid w:val="00D248C3"/>
    <w:rsid w:val="00D26751"/>
    <w:rsid w:val="00D2738A"/>
    <w:rsid w:val="00D2757D"/>
    <w:rsid w:val="00D306C4"/>
    <w:rsid w:val="00D310FC"/>
    <w:rsid w:val="00D315BE"/>
    <w:rsid w:val="00D3297B"/>
    <w:rsid w:val="00D3341A"/>
    <w:rsid w:val="00D34A92"/>
    <w:rsid w:val="00D34ABB"/>
    <w:rsid w:val="00D34CF5"/>
    <w:rsid w:val="00D37676"/>
    <w:rsid w:val="00D37A99"/>
    <w:rsid w:val="00D4068E"/>
    <w:rsid w:val="00D40C3F"/>
    <w:rsid w:val="00D45205"/>
    <w:rsid w:val="00D45C37"/>
    <w:rsid w:val="00D46221"/>
    <w:rsid w:val="00D46391"/>
    <w:rsid w:val="00D50955"/>
    <w:rsid w:val="00D52106"/>
    <w:rsid w:val="00D52CD9"/>
    <w:rsid w:val="00D535B5"/>
    <w:rsid w:val="00D53F0E"/>
    <w:rsid w:val="00D540D8"/>
    <w:rsid w:val="00D544D7"/>
    <w:rsid w:val="00D556AB"/>
    <w:rsid w:val="00D5592B"/>
    <w:rsid w:val="00D55A4C"/>
    <w:rsid w:val="00D565D7"/>
    <w:rsid w:val="00D5769B"/>
    <w:rsid w:val="00D6096E"/>
    <w:rsid w:val="00D6228C"/>
    <w:rsid w:val="00D629DA"/>
    <w:rsid w:val="00D63E45"/>
    <w:rsid w:val="00D64F2E"/>
    <w:rsid w:val="00D6508D"/>
    <w:rsid w:val="00D65D43"/>
    <w:rsid w:val="00D660AE"/>
    <w:rsid w:val="00D669B3"/>
    <w:rsid w:val="00D67D3B"/>
    <w:rsid w:val="00D67FCD"/>
    <w:rsid w:val="00D70029"/>
    <w:rsid w:val="00D70A6A"/>
    <w:rsid w:val="00D7243E"/>
    <w:rsid w:val="00D73558"/>
    <w:rsid w:val="00D735FD"/>
    <w:rsid w:val="00D7488A"/>
    <w:rsid w:val="00D7582A"/>
    <w:rsid w:val="00D77979"/>
    <w:rsid w:val="00D81AF9"/>
    <w:rsid w:val="00D82E95"/>
    <w:rsid w:val="00D851F0"/>
    <w:rsid w:val="00D8609F"/>
    <w:rsid w:val="00D86175"/>
    <w:rsid w:val="00D872C9"/>
    <w:rsid w:val="00D91D26"/>
    <w:rsid w:val="00D92C3B"/>
    <w:rsid w:val="00D94979"/>
    <w:rsid w:val="00D96986"/>
    <w:rsid w:val="00D96C58"/>
    <w:rsid w:val="00DA1E07"/>
    <w:rsid w:val="00DA4035"/>
    <w:rsid w:val="00DA5A7C"/>
    <w:rsid w:val="00DA619E"/>
    <w:rsid w:val="00DA67E0"/>
    <w:rsid w:val="00DB0397"/>
    <w:rsid w:val="00DB0FBB"/>
    <w:rsid w:val="00DB1102"/>
    <w:rsid w:val="00DB177C"/>
    <w:rsid w:val="00DB2110"/>
    <w:rsid w:val="00DB353C"/>
    <w:rsid w:val="00DB407E"/>
    <w:rsid w:val="00DB470D"/>
    <w:rsid w:val="00DB530D"/>
    <w:rsid w:val="00DB5370"/>
    <w:rsid w:val="00DB592F"/>
    <w:rsid w:val="00DB5988"/>
    <w:rsid w:val="00DB64D5"/>
    <w:rsid w:val="00DB6B9B"/>
    <w:rsid w:val="00DC0FC1"/>
    <w:rsid w:val="00DC1DBB"/>
    <w:rsid w:val="00DC214F"/>
    <w:rsid w:val="00DC4B95"/>
    <w:rsid w:val="00DC75A6"/>
    <w:rsid w:val="00DC7D35"/>
    <w:rsid w:val="00DC7D4C"/>
    <w:rsid w:val="00DD0EE3"/>
    <w:rsid w:val="00DD0F24"/>
    <w:rsid w:val="00DD1F55"/>
    <w:rsid w:val="00DD2333"/>
    <w:rsid w:val="00DD44BF"/>
    <w:rsid w:val="00DD4B8A"/>
    <w:rsid w:val="00DD5674"/>
    <w:rsid w:val="00DD69A2"/>
    <w:rsid w:val="00DD6D1C"/>
    <w:rsid w:val="00DD6EF3"/>
    <w:rsid w:val="00DD6F7C"/>
    <w:rsid w:val="00DE123C"/>
    <w:rsid w:val="00DE1DFC"/>
    <w:rsid w:val="00DE26C8"/>
    <w:rsid w:val="00DE2C60"/>
    <w:rsid w:val="00DE584E"/>
    <w:rsid w:val="00DE5953"/>
    <w:rsid w:val="00DE682E"/>
    <w:rsid w:val="00DE6BBC"/>
    <w:rsid w:val="00DE7088"/>
    <w:rsid w:val="00DE7A4A"/>
    <w:rsid w:val="00DE7A57"/>
    <w:rsid w:val="00DE7F22"/>
    <w:rsid w:val="00DF0379"/>
    <w:rsid w:val="00DF07A6"/>
    <w:rsid w:val="00DF2A66"/>
    <w:rsid w:val="00DF2CD8"/>
    <w:rsid w:val="00DF3184"/>
    <w:rsid w:val="00DF4A20"/>
    <w:rsid w:val="00DF4DEF"/>
    <w:rsid w:val="00DF52AE"/>
    <w:rsid w:val="00DF5AD3"/>
    <w:rsid w:val="00DF6BC6"/>
    <w:rsid w:val="00DF728C"/>
    <w:rsid w:val="00DF79FE"/>
    <w:rsid w:val="00E00EAD"/>
    <w:rsid w:val="00E014C4"/>
    <w:rsid w:val="00E01A15"/>
    <w:rsid w:val="00E043DA"/>
    <w:rsid w:val="00E05760"/>
    <w:rsid w:val="00E07798"/>
    <w:rsid w:val="00E10181"/>
    <w:rsid w:val="00E10B71"/>
    <w:rsid w:val="00E116E5"/>
    <w:rsid w:val="00E1268B"/>
    <w:rsid w:val="00E16338"/>
    <w:rsid w:val="00E16392"/>
    <w:rsid w:val="00E16FE5"/>
    <w:rsid w:val="00E175AA"/>
    <w:rsid w:val="00E208E7"/>
    <w:rsid w:val="00E2220E"/>
    <w:rsid w:val="00E229B0"/>
    <w:rsid w:val="00E2346D"/>
    <w:rsid w:val="00E23972"/>
    <w:rsid w:val="00E2427F"/>
    <w:rsid w:val="00E250FE"/>
    <w:rsid w:val="00E27CC0"/>
    <w:rsid w:val="00E27CCB"/>
    <w:rsid w:val="00E27DCE"/>
    <w:rsid w:val="00E27EB4"/>
    <w:rsid w:val="00E303FF"/>
    <w:rsid w:val="00E3338F"/>
    <w:rsid w:val="00E35CFD"/>
    <w:rsid w:val="00E360AF"/>
    <w:rsid w:val="00E3740D"/>
    <w:rsid w:val="00E40A5D"/>
    <w:rsid w:val="00E41C79"/>
    <w:rsid w:val="00E42031"/>
    <w:rsid w:val="00E44752"/>
    <w:rsid w:val="00E44B6D"/>
    <w:rsid w:val="00E45CF7"/>
    <w:rsid w:val="00E46BF1"/>
    <w:rsid w:val="00E47CFC"/>
    <w:rsid w:val="00E503DE"/>
    <w:rsid w:val="00E537A9"/>
    <w:rsid w:val="00E54510"/>
    <w:rsid w:val="00E55A0D"/>
    <w:rsid w:val="00E5760A"/>
    <w:rsid w:val="00E6003C"/>
    <w:rsid w:val="00E6086B"/>
    <w:rsid w:val="00E60AFD"/>
    <w:rsid w:val="00E61237"/>
    <w:rsid w:val="00E64AF4"/>
    <w:rsid w:val="00E6570E"/>
    <w:rsid w:val="00E679C2"/>
    <w:rsid w:val="00E708B4"/>
    <w:rsid w:val="00E70C0A"/>
    <w:rsid w:val="00E724D1"/>
    <w:rsid w:val="00E72BC2"/>
    <w:rsid w:val="00E7332F"/>
    <w:rsid w:val="00E74ED7"/>
    <w:rsid w:val="00E7656F"/>
    <w:rsid w:val="00E765E6"/>
    <w:rsid w:val="00E80906"/>
    <w:rsid w:val="00E810E8"/>
    <w:rsid w:val="00E81330"/>
    <w:rsid w:val="00E817A2"/>
    <w:rsid w:val="00E82428"/>
    <w:rsid w:val="00E8274F"/>
    <w:rsid w:val="00E8377E"/>
    <w:rsid w:val="00E8392B"/>
    <w:rsid w:val="00E83F90"/>
    <w:rsid w:val="00E840E3"/>
    <w:rsid w:val="00E849F5"/>
    <w:rsid w:val="00E85203"/>
    <w:rsid w:val="00E85232"/>
    <w:rsid w:val="00E86A23"/>
    <w:rsid w:val="00E86FCF"/>
    <w:rsid w:val="00E873E8"/>
    <w:rsid w:val="00E874D5"/>
    <w:rsid w:val="00E93544"/>
    <w:rsid w:val="00E94F2E"/>
    <w:rsid w:val="00E95345"/>
    <w:rsid w:val="00E96341"/>
    <w:rsid w:val="00E96C3C"/>
    <w:rsid w:val="00E97FA6"/>
    <w:rsid w:val="00EA04E0"/>
    <w:rsid w:val="00EA0582"/>
    <w:rsid w:val="00EA1018"/>
    <w:rsid w:val="00EA240B"/>
    <w:rsid w:val="00EA3F7E"/>
    <w:rsid w:val="00EA40BF"/>
    <w:rsid w:val="00EA5DE4"/>
    <w:rsid w:val="00EA60D0"/>
    <w:rsid w:val="00EA68BD"/>
    <w:rsid w:val="00EA716C"/>
    <w:rsid w:val="00EA7AC2"/>
    <w:rsid w:val="00EB0439"/>
    <w:rsid w:val="00EB06F1"/>
    <w:rsid w:val="00EB06F2"/>
    <w:rsid w:val="00EB133C"/>
    <w:rsid w:val="00EB36AF"/>
    <w:rsid w:val="00EB487B"/>
    <w:rsid w:val="00EC03CA"/>
    <w:rsid w:val="00EC0CED"/>
    <w:rsid w:val="00EC1907"/>
    <w:rsid w:val="00EC2457"/>
    <w:rsid w:val="00EC31D3"/>
    <w:rsid w:val="00EC3717"/>
    <w:rsid w:val="00EC56E8"/>
    <w:rsid w:val="00EC6126"/>
    <w:rsid w:val="00EC69D6"/>
    <w:rsid w:val="00EC6C5F"/>
    <w:rsid w:val="00EC7098"/>
    <w:rsid w:val="00EC73A5"/>
    <w:rsid w:val="00EC795A"/>
    <w:rsid w:val="00ED00DB"/>
    <w:rsid w:val="00ED0683"/>
    <w:rsid w:val="00ED3C22"/>
    <w:rsid w:val="00ED4C17"/>
    <w:rsid w:val="00ED4E48"/>
    <w:rsid w:val="00ED565D"/>
    <w:rsid w:val="00ED57C0"/>
    <w:rsid w:val="00ED5DFE"/>
    <w:rsid w:val="00ED61D9"/>
    <w:rsid w:val="00ED6C88"/>
    <w:rsid w:val="00ED7425"/>
    <w:rsid w:val="00EE1963"/>
    <w:rsid w:val="00EE1A8E"/>
    <w:rsid w:val="00EE2065"/>
    <w:rsid w:val="00EE395F"/>
    <w:rsid w:val="00EE3E2C"/>
    <w:rsid w:val="00EE500C"/>
    <w:rsid w:val="00EE6DDD"/>
    <w:rsid w:val="00EF1442"/>
    <w:rsid w:val="00EF4809"/>
    <w:rsid w:val="00EF5614"/>
    <w:rsid w:val="00EF613B"/>
    <w:rsid w:val="00EF618D"/>
    <w:rsid w:val="00EF762E"/>
    <w:rsid w:val="00EF7908"/>
    <w:rsid w:val="00F00058"/>
    <w:rsid w:val="00F0080E"/>
    <w:rsid w:val="00F01116"/>
    <w:rsid w:val="00F0134E"/>
    <w:rsid w:val="00F0176A"/>
    <w:rsid w:val="00F017AD"/>
    <w:rsid w:val="00F017CC"/>
    <w:rsid w:val="00F019E7"/>
    <w:rsid w:val="00F02C73"/>
    <w:rsid w:val="00F03FA5"/>
    <w:rsid w:val="00F04AB7"/>
    <w:rsid w:val="00F053C0"/>
    <w:rsid w:val="00F065C1"/>
    <w:rsid w:val="00F10D46"/>
    <w:rsid w:val="00F1173A"/>
    <w:rsid w:val="00F11927"/>
    <w:rsid w:val="00F126B7"/>
    <w:rsid w:val="00F12948"/>
    <w:rsid w:val="00F135BE"/>
    <w:rsid w:val="00F15030"/>
    <w:rsid w:val="00F16D62"/>
    <w:rsid w:val="00F17480"/>
    <w:rsid w:val="00F20094"/>
    <w:rsid w:val="00F20DC3"/>
    <w:rsid w:val="00F2169B"/>
    <w:rsid w:val="00F21DE3"/>
    <w:rsid w:val="00F21EFA"/>
    <w:rsid w:val="00F222C3"/>
    <w:rsid w:val="00F22472"/>
    <w:rsid w:val="00F2316A"/>
    <w:rsid w:val="00F23CF0"/>
    <w:rsid w:val="00F24870"/>
    <w:rsid w:val="00F24A77"/>
    <w:rsid w:val="00F2582A"/>
    <w:rsid w:val="00F26540"/>
    <w:rsid w:val="00F26E89"/>
    <w:rsid w:val="00F26FC2"/>
    <w:rsid w:val="00F27DCD"/>
    <w:rsid w:val="00F327BF"/>
    <w:rsid w:val="00F329A3"/>
    <w:rsid w:val="00F355F1"/>
    <w:rsid w:val="00F37652"/>
    <w:rsid w:val="00F37EDC"/>
    <w:rsid w:val="00F40367"/>
    <w:rsid w:val="00F40B02"/>
    <w:rsid w:val="00F432D2"/>
    <w:rsid w:val="00F440BE"/>
    <w:rsid w:val="00F4584B"/>
    <w:rsid w:val="00F500F9"/>
    <w:rsid w:val="00F5010D"/>
    <w:rsid w:val="00F51CD0"/>
    <w:rsid w:val="00F5280E"/>
    <w:rsid w:val="00F52C7E"/>
    <w:rsid w:val="00F5351F"/>
    <w:rsid w:val="00F53E6A"/>
    <w:rsid w:val="00F55FD2"/>
    <w:rsid w:val="00F573A7"/>
    <w:rsid w:val="00F61101"/>
    <w:rsid w:val="00F61E99"/>
    <w:rsid w:val="00F623DE"/>
    <w:rsid w:val="00F63621"/>
    <w:rsid w:val="00F6386F"/>
    <w:rsid w:val="00F63D80"/>
    <w:rsid w:val="00F6404C"/>
    <w:rsid w:val="00F64F1E"/>
    <w:rsid w:val="00F65926"/>
    <w:rsid w:val="00F70769"/>
    <w:rsid w:val="00F712E3"/>
    <w:rsid w:val="00F71CFD"/>
    <w:rsid w:val="00F72A53"/>
    <w:rsid w:val="00F73ABA"/>
    <w:rsid w:val="00F73D96"/>
    <w:rsid w:val="00F75A4D"/>
    <w:rsid w:val="00F8005C"/>
    <w:rsid w:val="00F8038C"/>
    <w:rsid w:val="00F80AAB"/>
    <w:rsid w:val="00F81285"/>
    <w:rsid w:val="00F822AB"/>
    <w:rsid w:val="00F82639"/>
    <w:rsid w:val="00F82BC1"/>
    <w:rsid w:val="00F83027"/>
    <w:rsid w:val="00F83423"/>
    <w:rsid w:val="00F85CE0"/>
    <w:rsid w:val="00F8628E"/>
    <w:rsid w:val="00F867DE"/>
    <w:rsid w:val="00F87350"/>
    <w:rsid w:val="00F901A1"/>
    <w:rsid w:val="00F90AB6"/>
    <w:rsid w:val="00F93721"/>
    <w:rsid w:val="00F94B49"/>
    <w:rsid w:val="00F95E92"/>
    <w:rsid w:val="00F9613F"/>
    <w:rsid w:val="00F97681"/>
    <w:rsid w:val="00FA1991"/>
    <w:rsid w:val="00FA22C7"/>
    <w:rsid w:val="00FA27E7"/>
    <w:rsid w:val="00FA27F2"/>
    <w:rsid w:val="00FA2C14"/>
    <w:rsid w:val="00FA2CDC"/>
    <w:rsid w:val="00FA3075"/>
    <w:rsid w:val="00FA3C1F"/>
    <w:rsid w:val="00FA4324"/>
    <w:rsid w:val="00FA442F"/>
    <w:rsid w:val="00FA67D1"/>
    <w:rsid w:val="00FA6B54"/>
    <w:rsid w:val="00FA73E3"/>
    <w:rsid w:val="00FA7880"/>
    <w:rsid w:val="00FA78D6"/>
    <w:rsid w:val="00FA7F02"/>
    <w:rsid w:val="00FB030A"/>
    <w:rsid w:val="00FB1907"/>
    <w:rsid w:val="00FB1983"/>
    <w:rsid w:val="00FB3331"/>
    <w:rsid w:val="00FB41A5"/>
    <w:rsid w:val="00FB4862"/>
    <w:rsid w:val="00FB4F3E"/>
    <w:rsid w:val="00FB612E"/>
    <w:rsid w:val="00FB6459"/>
    <w:rsid w:val="00FB64E9"/>
    <w:rsid w:val="00FB6B49"/>
    <w:rsid w:val="00FC0CE0"/>
    <w:rsid w:val="00FC0D02"/>
    <w:rsid w:val="00FC1533"/>
    <w:rsid w:val="00FC3181"/>
    <w:rsid w:val="00FC6F63"/>
    <w:rsid w:val="00FC76AB"/>
    <w:rsid w:val="00FD002E"/>
    <w:rsid w:val="00FD165E"/>
    <w:rsid w:val="00FD271A"/>
    <w:rsid w:val="00FD2DD3"/>
    <w:rsid w:val="00FD32A0"/>
    <w:rsid w:val="00FD32D4"/>
    <w:rsid w:val="00FD5A0F"/>
    <w:rsid w:val="00FD62CD"/>
    <w:rsid w:val="00FD6AB4"/>
    <w:rsid w:val="00FD6BF8"/>
    <w:rsid w:val="00FE000D"/>
    <w:rsid w:val="00FE0438"/>
    <w:rsid w:val="00FE19FE"/>
    <w:rsid w:val="00FE28EF"/>
    <w:rsid w:val="00FE3DDF"/>
    <w:rsid w:val="00FE49DB"/>
    <w:rsid w:val="00FE5066"/>
    <w:rsid w:val="00FE528C"/>
    <w:rsid w:val="00FE573E"/>
    <w:rsid w:val="00FE77CF"/>
    <w:rsid w:val="00FF1CF2"/>
    <w:rsid w:val="00FF2AB7"/>
    <w:rsid w:val="00FF424C"/>
    <w:rsid w:val="00FF4566"/>
    <w:rsid w:val="00FF57F9"/>
    <w:rsid w:val="00FF70E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61E813B"/>
  <w15:chartTrackingRefBased/>
  <w15:docId w15:val="{2C679176-40F0-4316-BA11-1AC339BCF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fr-FR"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3F3"/>
  </w:style>
  <w:style w:type="paragraph" w:styleId="Titre1">
    <w:name w:val="heading 1"/>
    <w:basedOn w:val="Normal"/>
    <w:next w:val="Normal"/>
    <w:link w:val="Titre1Car"/>
    <w:uiPriority w:val="9"/>
    <w:qFormat/>
    <w:rsid w:val="00B92A7E"/>
    <w:pPr>
      <w:shd w:val="clear" w:color="auto" w:fill="612A8A"/>
      <w:spacing w:before="240" w:after="120"/>
      <w:jc w:val="center"/>
      <w:outlineLvl w:val="0"/>
    </w:pPr>
    <w:rPr>
      <w:b/>
      <w:caps/>
      <w:color w:val="FFFFFF" w:themeColor="background1"/>
      <w:spacing w:val="15"/>
      <w:sz w:val="22"/>
      <w:szCs w:val="22"/>
    </w:rPr>
  </w:style>
  <w:style w:type="paragraph" w:styleId="Titre2">
    <w:name w:val="heading 2"/>
    <w:basedOn w:val="Normal"/>
    <w:next w:val="Normal"/>
    <w:link w:val="Titre2Car"/>
    <w:uiPriority w:val="9"/>
    <w:unhideWhenUsed/>
    <w:qFormat/>
    <w:rsid w:val="00AF67E3"/>
    <w:pPr>
      <w:shd w:val="clear" w:color="auto" w:fill="BEBEEE"/>
      <w:spacing w:after="120"/>
      <w:jc w:val="center"/>
      <w:outlineLvl w:val="1"/>
    </w:pPr>
    <w:rPr>
      <w:b/>
      <w:caps/>
      <w:color w:val="595959" w:themeColor="text1" w:themeTint="A6"/>
      <w:spacing w:val="15"/>
    </w:rPr>
  </w:style>
  <w:style w:type="paragraph" w:styleId="Titre3">
    <w:name w:val="heading 3"/>
    <w:basedOn w:val="Normal"/>
    <w:next w:val="Normal"/>
    <w:link w:val="Titre3Car"/>
    <w:uiPriority w:val="9"/>
    <w:unhideWhenUsed/>
    <w:qFormat/>
    <w:rsid w:val="004115EB"/>
    <w:pPr>
      <w:pBdr>
        <w:top w:val="single" w:sz="6" w:space="2" w:color="5B9BD5" w:themeColor="accent1"/>
      </w:pBdr>
      <w:spacing w:before="300" w:after="0"/>
      <w:outlineLvl w:val="2"/>
    </w:pPr>
    <w:rPr>
      <w:caps/>
      <w:color w:val="1F4D78" w:themeColor="accent1" w:themeShade="7F"/>
      <w:spacing w:val="15"/>
    </w:rPr>
  </w:style>
  <w:style w:type="paragraph" w:styleId="Titre4">
    <w:name w:val="heading 4"/>
    <w:basedOn w:val="Normal"/>
    <w:next w:val="Normal"/>
    <w:link w:val="Titre4Car"/>
    <w:uiPriority w:val="9"/>
    <w:unhideWhenUsed/>
    <w:qFormat/>
    <w:rsid w:val="004115EB"/>
    <w:pPr>
      <w:pBdr>
        <w:top w:val="dotted" w:sz="6" w:space="2" w:color="5B9BD5" w:themeColor="accent1"/>
      </w:pBdr>
      <w:spacing w:before="200" w:after="0"/>
      <w:outlineLvl w:val="3"/>
    </w:pPr>
    <w:rPr>
      <w:caps/>
      <w:color w:val="2E74B5" w:themeColor="accent1" w:themeShade="BF"/>
      <w:spacing w:val="10"/>
    </w:rPr>
  </w:style>
  <w:style w:type="paragraph" w:styleId="Titre5">
    <w:name w:val="heading 5"/>
    <w:basedOn w:val="Normal"/>
    <w:next w:val="Normal"/>
    <w:link w:val="Titre5Car"/>
    <w:uiPriority w:val="9"/>
    <w:semiHidden/>
    <w:unhideWhenUsed/>
    <w:qFormat/>
    <w:rsid w:val="004115EB"/>
    <w:pPr>
      <w:pBdr>
        <w:bottom w:val="single" w:sz="6" w:space="1" w:color="5B9BD5" w:themeColor="accent1"/>
      </w:pBdr>
      <w:spacing w:before="200" w:after="0"/>
      <w:outlineLvl w:val="4"/>
    </w:pPr>
    <w:rPr>
      <w:caps/>
      <w:color w:val="2E74B5" w:themeColor="accent1" w:themeShade="BF"/>
      <w:spacing w:val="10"/>
    </w:rPr>
  </w:style>
  <w:style w:type="paragraph" w:styleId="Titre6">
    <w:name w:val="heading 6"/>
    <w:basedOn w:val="Normal"/>
    <w:next w:val="Normal"/>
    <w:link w:val="Titre6Car"/>
    <w:uiPriority w:val="9"/>
    <w:semiHidden/>
    <w:unhideWhenUsed/>
    <w:qFormat/>
    <w:rsid w:val="004115EB"/>
    <w:pPr>
      <w:pBdr>
        <w:bottom w:val="dotted" w:sz="6" w:space="1" w:color="5B9BD5" w:themeColor="accent1"/>
      </w:pBdr>
      <w:spacing w:before="200" w:after="0"/>
      <w:outlineLvl w:val="5"/>
    </w:pPr>
    <w:rPr>
      <w:caps/>
      <w:color w:val="2E74B5" w:themeColor="accent1" w:themeShade="BF"/>
      <w:spacing w:val="10"/>
    </w:rPr>
  </w:style>
  <w:style w:type="paragraph" w:styleId="Titre7">
    <w:name w:val="heading 7"/>
    <w:basedOn w:val="Normal"/>
    <w:next w:val="Normal"/>
    <w:link w:val="Titre7Car"/>
    <w:uiPriority w:val="9"/>
    <w:semiHidden/>
    <w:unhideWhenUsed/>
    <w:qFormat/>
    <w:rsid w:val="004115EB"/>
    <w:pPr>
      <w:spacing w:before="200" w:after="0"/>
      <w:outlineLvl w:val="6"/>
    </w:pPr>
    <w:rPr>
      <w:caps/>
      <w:color w:val="2E74B5" w:themeColor="accent1" w:themeShade="BF"/>
      <w:spacing w:val="10"/>
    </w:rPr>
  </w:style>
  <w:style w:type="paragraph" w:styleId="Titre8">
    <w:name w:val="heading 8"/>
    <w:basedOn w:val="Normal"/>
    <w:next w:val="Normal"/>
    <w:link w:val="Titre8Car"/>
    <w:uiPriority w:val="9"/>
    <w:semiHidden/>
    <w:unhideWhenUsed/>
    <w:qFormat/>
    <w:rsid w:val="004115EB"/>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4115EB"/>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16338"/>
    <w:pPr>
      <w:tabs>
        <w:tab w:val="center" w:pos="4536"/>
        <w:tab w:val="right" w:pos="9072"/>
      </w:tabs>
    </w:pPr>
  </w:style>
  <w:style w:type="character" w:customStyle="1" w:styleId="En-tteCar">
    <w:name w:val="En-tête Car"/>
    <w:basedOn w:val="Policepardfaut"/>
    <w:link w:val="En-tte"/>
    <w:uiPriority w:val="99"/>
    <w:rsid w:val="00E16338"/>
  </w:style>
  <w:style w:type="paragraph" w:styleId="Pieddepage">
    <w:name w:val="footer"/>
    <w:basedOn w:val="Normal"/>
    <w:link w:val="PieddepageCar"/>
    <w:uiPriority w:val="99"/>
    <w:unhideWhenUsed/>
    <w:rsid w:val="00E16338"/>
    <w:pPr>
      <w:tabs>
        <w:tab w:val="center" w:pos="4536"/>
        <w:tab w:val="right" w:pos="9072"/>
      </w:tabs>
    </w:pPr>
  </w:style>
  <w:style w:type="character" w:customStyle="1" w:styleId="PieddepageCar">
    <w:name w:val="Pied de page Car"/>
    <w:basedOn w:val="Policepardfaut"/>
    <w:link w:val="Pieddepage"/>
    <w:uiPriority w:val="99"/>
    <w:rsid w:val="00E16338"/>
  </w:style>
  <w:style w:type="character" w:customStyle="1" w:styleId="Titre1Car">
    <w:name w:val="Titre 1 Car"/>
    <w:basedOn w:val="Policepardfaut"/>
    <w:link w:val="Titre1"/>
    <w:uiPriority w:val="9"/>
    <w:rsid w:val="00B92A7E"/>
    <w:rPr>
      <w:b/>
      <w:caps/>
      <w:color w:val="FFFFFF" w:themeColor="background1"/>
      <w:spacing w:val="15"/>
      <w:sz w:val="22"/>
      <w:szCs w:val="22"/>
      <w:shd w:val="clear" w:color="auto" w:fill="612A8A"/>
    </w:rPr>
  </w:style>
  <w:style w:type="character" w:customStyle="1" w:styleId="Titre2Car">
    <w:name w:val="Titre 2 Car"/>
    <w:basedOn w:val="Policepardfaut"/>
    <w:link w:val="Titre2"/>
    <w:uiPriority w:val="9"/>
    <w:rsid w:val="00AF67E3"/>
    <w:rPr>
      <w:b/>
      <w:caps/>
      <w:color w:val="595959" w:themeColor="text1" w:themeTint="A6"/>
      <w:spacing w:val="15"/>
      <w:shd w:val="clear" w:color="auto" w:fill="BEBEEE"/>
    </w:rPr>
  </w:style>
  <w:style w:type="paragraph" w:styleId="En-ttedetabledesmatires">
    <w:name w:val="TOC Heading"/>
    <w:basedOn w:val="Titre1"/>
    <w:next w:val="Normal"/>
    <w:uiPriority w:val="39"/>
    <w:unhideWhenUsed/>
    <w:qFormat/>
    <w:rsid w:val="004115EB"/>
    <w:pPr>
      <w:outlineLvl w:val="9"/>
    </w:pPr>
  </w:style>
  <w:style w:type="paragraph" w:styleId="TM1">
    <w:name w:val="toc 1"/>
    <w:basedOn w:val="Normal"/>
    <w:next w:val="Normal"/>
    <w:autoRedefine/>
    <w:uiPriority w:val="39"/>
    <w:unhideWhenUsed/>
    <w:rsid w:val="00E96C3C"/>
    <w:pPr>
      <w:tabs>
        <w:tab w:val="right" w:leader="dot" w:pos="9062"/>
      </w:tabs>
      <w:spacing w:before="0" w:after="0"/>
    </w:pPr>
  </w:style>
  <w:style w:type="paragraph" w:styleId="TM2">
    <w:name w:val="toc 2"/>
    <w:basedOn w:val="Normal"/>
    <w:next w:val="Normal"/>
    <w:autoRedefine/>
    <w:uiPriority w:val="39"/>
    <w:unhideWhenUsed/>
    <w:rsid w:val="00E96C3C"/>
    <w:pPr>
      <w:tabs>
        <w:tab w:val="right" w:leader="dot" w:pos="9062"/>
      </w:tabs>
      <w:spacing w:before="40" w:after="40"/>
      <w:ind w:left="240"/>
    </w:pPr>
  </w:style>
  <w:style w:type="character" w:styleId="Lienhypertexte">
    <w:name w:val="Hyperlink"/>
    <w:basedOn w:val="Policepardfaut"/>
    <w:uiPriority w:val="99"/>
    <w:unhideWhenUsed/>
    <w:rsid w:val="00583EA8"/>
    <w:rPr>
      <w:color w:val="0563C1" w:themeColor="hyperlink"/>
      <w:u w:val="single"/>
    </w:rPr>
  </w:style>
  <w:style w:type="paragraph" w:styleId="Citationintense">
    <w:name w:val="Intense Quote"/>
    <w:basedOn w:val="Normal"/>
    <w:next w:val="Normal"/>
    <w:link w:val="CitationintenseCar"/>
    <w:uiPriority w:val="30"/>
    <w:qFormat/>
    <w:rsid w:val="004115EB"/>
    <w:pPr>
      <w:spacing w:before="240" w:after="240" w:line="240" w:lineRule="auto"/>
      <w:ind w:left="1080" w:right="1080"/>
      <w:jc w:val="center"/>
    </w:pPr>
    <w:rPr>
      <w:color w:val="5B9BD5" w:themeColor="accent1"/>
      <w:sz w:val="24"/>
      <w:szCs w:val="24"/>
    </w:rPr>
  </w:style>
  <w:style w:type="character" w:customStyle="1" w:styleId="CitationintenseCar">
    <w:name w:val="Citation intense Car"/>
    <w:basedOn w:val="Policepardfaut"/>
    <w:link w:val="Citationintense"/>
    <w:uiPriority w:val="30"/>
    <w:rsid w:val="004115EB"/>
    <w:rPr>
      <w:color w:val="5B9BD5" w:themeColor="accent1"/>
      <w:sz w:val="24"/>
      <w:szCs w:val="24"/>
    </w:rPr>
  </w:style>
  <w:style w:type="table" w:styleId="Grilledutableau">
    <w:name w:val="Table Grid"/>
    <w:basedOn w:val="TableauNormal"/>
    <w:uiPriority w:val="59"/>
    <w:rsid w:val="006B182F"/>
    <w:pPr>
      <w:spacing w:after="0" w:line="240" w:lineRule="auto"/>
    </w:pPr>
    <w:rPr>
      <w:rFonts w:asciiTheme="majorHAnsi" w:eastAsiaTheme="majorEastAsia" w:hAnsiTheme="majorHAnsi"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aliases w:val="Reference,Reference Car,n,Fußnotentext wam,Footnote Text Char2 Char,Footnote Text Char Char Char1,Footnote Text Char1 Char Char Char,Footnote Text Char2 Char Char Char Char,Footnote Text Char1 Char1 Char Char Char Char,Car"/>
    <w:basedOn w:val="Normal"/>
    <w:link w:val="NotedebasdepageCar"/>
    <w:unhideWhenUsed/>
    <w:rsid w:val="006B182F"/>
  </w:style>
  <w:style w:type="character" w:customStyle="1" w:styleId="NotedebasdepageCar">
    <w:name w:val="Note de bas de page Car"/>
    <w:aliases w:val="Reference Car1,Reference Car Car,n Car,Fußnotentext wam Car,Footnote Text Char2 Char Car,Footnote Text Char Char Char1 Car,Footnote Text Char1 Char Char Char Car,Footnote Text Char2 Char Char Char Char Car,Car Car"/>
    <w:basedOn w:val="Policepardfaut"/>
    <w:link w:val="Notedebasdepage"/>
    <w:rsid w:val="006B182F"/>
    <w:rPr>
      <w:rFonts w:ascii="Cambria" w:eastAsia="MS Minngs" w:hAnsi="Cambria" w:cs="Times New Roman"/>
      <w:sz w:val="20"/>
      <w:szCs w:val="20"/>
      <w:lang w:eastAsia="fr-FR"/>
    </w:rPr>
  </w:style>
  <w:style w:type="character" w:styleId="Appelnotedebasdep">
    <w:name w:val="footnote reference"/>
    <w:aliases w:val="SUPERS,BVI fnr,EN Footnote Reference,Times 10 Point,Exposant 3 Point,Footnote symbol,Footnote reference number,note TESI,Footnote Reference Superscript,Footnote,Ref,de nota al pie,-E Fußnotenzeichen,Footnote call"/>
    <w:basedOn w:val="Policepardfaut"/>
    <w:unhideWhenUsed/>
    <w:rsid w:val="006B182F"/>
    <w:rPr>
      <w:vertAlign w:val="superscript"/>
    </w:rPr>
  </w:style>
  <w:style w:type="character" w:styleId="Marquedecommentaire">
    <w:name w:val="annotation reference"/>
    <w:basedOn w:val="Policepardfaut"/>
    <w:unhideWhenUsed/>
    <w:rsid w:val="00140D70"/>
    <w:rPr>
      <w:sz w:val="16"/>
      <w:szCs w:val="16"/>
    </w:rPr>
  </w:style>
  <w:style w:type="paragraph" w:styleId="Commentaire">
    <w:name w:val="annotation text"/>
    <w:basedOn w:val="Normal"/>
    <w:link w:val="CommentaireCar"/>
    <w:semiHidden/>
    <w:unhideWhenUsed/>
    <w:rsid w:val="00140D70"/>
  </w:style>
  <w:style w:type="character" w:customStyle="1" w:styleId="CommentaireCar">
    <w:name w:val="Commentaire Car"/>
    <w:basedOn w:val="Policepardfaut"/>
    <w:link w:val="Commentaire"/>
    <w:uiPriority w:val="99"/>
    <w:semiHidden/>
    <w:rsid w:val="00140D70"/>
    <w:rPr>
      <w:rFonts w:ascii="Cambria" w:eastAsia="MS Minngs" w:hAnsi="Cambria"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140D70"/>
    <w:rPr>
      <w:b/>
      <w:bCs/>
    </w:rPr>
  </w:style>
  <w:style w:type="character" w:customStyle="1" w:styleId="ObjetducommentaireCar">
    <w:name w:val="Objet du commentaire Car"/>
    <w:basedOn w:val="CommentaireCar"/>
    <w:link w:val="Objetducommentaire"/>
    <w:uiPriority w:val="99"/>
    <w:semiHidden/>
    <w:rsid w:val="00140D70"/>
    <w:rPr>
      <w:rFonts w:ascii="Cambria" w:eastAsia="MS Minngs" w:hAnsi="Cambria" w:cs="Times New Roman"/>
      <w:b/>
      <w:bCs/>
      <w:sz w:val="20"/>
      <w:szCs w:val="20"/>
      <w:lang w:eastAsia="fr-FR"/>
    </w:rPr>
  </w:style>
  <w:style w:type="paragraph" w:styleId="Textedebulles">
    <w:name w:val="Balloon Text"/>
    <w:basedOn w:val="Normal"/>
    <w:link w:val="TextedebullesCar"/>
    <w:uiPriority w:val="99"/>
    <w:semiHidden/>
    <w:unhideWhenUsed/>
    <w:rsid w:val="00140D70"/>
    <w:rPr>
      <w:rFonts w:ascii="Segoe UI" w:hAnsi="Segoe UI" w:cs="Segoe UI"/>
      <w:sz w:val="18"/>
      <w:szCs w:val="18"/>
    </w:rPr>
  </w:style>
  <w:style w:type="character" w:customStyle="1" w:styleId="TextedebullesCar">
    <w:name w:val="Texte de bulles Car"/>
    <w:basedOn w:val="Policepardfaut"/>
    <w:link w:val="Textedebulles"/>
    <w:uiPriority w:val="99"/>
    <w:semiHidden/>
    <w:rsid w:val="00140D70"/>
    <w:rPr>
      <w:rFonts w:ascii="Segoe UI" w:eastAsia="MS Minngs" w:hAnsi="Segoe UI" w:cs="Segoe UI"/>
      <w:sz w:val="18"/>
      <w:szCs w:val="18"/>
      <w:lang w:eastAsia="fr-FR"/>
    </w:rPr>
  </w:style>
  <w:style w:type="paragraph" w:customStyle="1" w:styleId="Default">
    <w:name w:val="Default"/>
    <w:rsid w:val="005277CE"/>
    <w:pPr>
      <w:autoSpaceDE w:val="0"/>
      <w:autoSpaceDN w:val="0"/>
      <w:adjustRightInd w:val="0"/>
      <w:spacing w:after="0" w:line="240" w:lineRule="auto"/>
    </w:pPr>
    <w:rPr>
      <w:rFonts w:ascii="Times New Roman" w:eastAsiaTheme="majorEastAsia" w:hAnsi="Times New Roman" w:cs="Times New Roman"/>
      <w:color w:val="000000"/>
      <w:sz w:val="24"/>
      <w:szCs w:val="24"/>
    </w:rPr>
  </w:style>
  <w:style w:type="character" w:customStyle="1" w:styleId="Titre3Car">
    <w:name w:val="Titre 3 Car"/>
    <w:basedOn w:val="Policepardfaut"/>
    <w:link w:val="Titre3"/>
    <w:uiPriority w:val="9"/>
    <w:rsid w:val="004115EB"/>
    <w:rPr>
      <w:caps/>
      <w:color w:val="1F4D78" w:themeColor="accent1" w:themeShade="7F"/>
      <w:spacing w:val="15"/>
    </w:rPr>
  </w:style>
  <w:style w:type="paragraph" w:styleId="TM3">
    <w:name w:val="toc 3"/>
    <w:basedOn w:val="Normal"/>
    <w:next w:val="Normal"/>
    <w:autoRedefine/>
    <w:uiPriority w:val="39"/>
    <w:unhideWhenUsed/>
    <w:rsid w:val="00CC005F"/>
    <w:pPr>
      <w:tabs>
        <w:tab w:val="right" w:leader="dot" w:pos="9062"/>
      </w:tabs>
      <w:spacing w:before="40" w:after="40"/>
      <w:ind w:left="284"/>
    </w:pPr>
  </w:style>
  <w:style w:type="table" w:styleId="TableauListe4-Accentuation5">
    <w:name w:val="List Table 4 Accent 5"/>
    <w:basedOn w:val="TableauNormal"/>
    <w:uiPriority w:val="49"/>
    <w:rsid w:val="00D40C3F"/>
    <w:pPr>
      <w:spacing w:after="0" w:line="240" w:lineRule="auto"/>
    </w:pPr>
    <w:rPr>
      <w:rFonts w:asciiTheme="majorHAnsi" w:eastAsiaTheme="majorEastAsia" w:hAnsiTheme="majorHAnsi" w:cstheme="majorBid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Paragraphedeliste">
    <w:name w:val="List Paragraph"/>
    <w:basedOn w:val="Normal"/>
    <w:link w:val="ParagraphedelisteCar"/>
    <w:uiPriority w:val="34"/>
    <w:qFormat/>
    <w:rsid w:val="00C52468"/>
    <w:pPr>
      <w:ind w:left="720"/>
      <w:contextualSpacing/>
    </w:pPr>
  </w:style>
  <w:style w:type="character" w:customStyle="1" w:styleId="ParagraphedelisteCar">
    <w:name w:val="Paragraphe de liste Car"/>
    <w:basedOn w:val="Policepardfaut"/>
    <w:link w:val="Paragraphedeliste"/>
    <w:uiPriority w:val="34"/>
    <w:rsid w:val="00C52468"/>
  </w:style>
  <w:style w:type="table" w:customStyle="1" w:styleId="Grilledutableau1">
    <w:name w:val="Grille du tableau1"/>
    <w:basedOn w:val="TableauNormal"/>
    <w:next w:val="Grilledutableau"/>
    <w:uiPriority w:val="59"/>
    <w:rsid w:val="00AE6587"/>
    <w:pPr>
      <w:spacing w:after="0" w:line="240" w:lineRule="auto"/>
    </w:pPr>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dr">
    <w:name w:val="Encadré"/>
    <w:basedOn w:val="Normal"/>
    <w:link w:val="EncadrCar"/>
    <w:rsid w:val="00F11927"/>
    <w:pPr>
      <w:pBdr>
        <w:top w:val="dashed" w:sz="18" w:space="1" w:color="1F4E79" w:themeColor="accent1" w:themeShade="80"/>
        <w:left w:val="dashed" w:sz="18" w:space="4" w:color="1F4E79" w:themeColor="accent1" w:themeShade="80"/>
        <w:bottom w:val="dashed" w:sz="18" w:space="1" w:color="1F4E79" w:themeColor="accent1" w:themeShade="80"/>
        <w:right w:val="dashed" w:sz="18" w:space="4" w:color="1F4E79" w:themeColor="accent1" w:themeShade="80"/>
      </w:pBdr>
      <w:spacing w:after="180" w:line="252" w:lineRule="auto"/>
      <w:jc w:val="both"/>
    </w:pPr>
    <w:rPr>
      <w:rFonts w:eastAsia="Times New Roman"/>
      <w:szCs w:val="22"/>
    </w:rPr>
  </w:style>
  <w:style w:type="character" w:customStyle="1" w:styleId="EncadrCar">
    <w:name w:val="Encadré Car"/>
    <w:basedOn w:val="Policepardfaut"/>
    <w:link w:val="Encadr"/>
    <w:rsid w:val="00F11927"/>
    <w:rPr>
      <w:rFonts w:ascii="Cambria" w:eastAsia="Times New Roman" w:hAnsi="Cambria" w:cs="Times New Roman"/>
      <w:sz w:val="24"/>
    </w:rPr>
  </w:style>
  <w:style w:type="character" w:customStyle="1" w:styleId="Titre4Car">
    <w:name w:val="Titre 4 Car"/>
    <w:basedOn w:val="Policepardfaut"/>
    <w:link w:val="Titre4"/>
    <w:uiPriority w:val="9"/>
    <w:rsid w:val="004115EB"/>
    <w:rPr>
      <w:caps/>
      <w:color w:val="2E74B5" w:themeColor="accent1" w:themeShade="BF"/>
      <w:spacing w:val="10"/>
    </w:rPr>
  </w:style>
  <w:style w:type="character" w:customStyle="1" w:styleId="Titre5Car">
    <w:name w:val="Titre 5 Car"/>
    <w:basedOn w:val="Policepardfaut"/>
    <w:link w:val="Titre5"/>
    <w:uiPriority w:val="9"/>
    <w:semiHidden/>
    <w:rsid w:val="004115EB"/>
    <w:rPr>
      <w:caps/>
      <w:color w:val="2E74B5" w:themeColor="accent1" w:themeShade="BF"/>
      <w:spacing w:val="10"/>
    </w:rPr>
  </w:style>
  <w:style w:type="character" w:customStyle="1" w:styleId="Titre6Car">
    <w:name w:val="Titre 6 Car"/>
    <w:basedOn w:val="Policepardfaut"/>
    <w:link w:val="Titre6"/>
    <w:uiPriority w:val="9"/>
    <w:semiHidden/>
    <w:rsid w:val="004115EB"/>
    <w:rPr>
      <w:caps/>
      <w:color w:val="2E74B5" w:themeColor="accent1" w:themeShade="BF"/>
      <w:spacing w:val="10"/>
    </w:rPr>
  </w:style>
  <w:style w:type="character" w:customStyle="1" w:styleId="Titre7Car">
    <w:name w:val="Titre 7 Car"/>
    <w:basedOn w:val="Policepardfaut"/>
    <w:link w:val="Titre7"/>
    <w:uiPriority w:val="9"/>
    <w:semiHidden/>
    <w:rsid w:val="004115EB"/>
    <w:rPr>
      <w:caps/>
      <w:color w:val="2E74B5" w:themeColor="accent1" w:themeShade="BF"/>
      <w:spacing w:val="10"/>
    </w:rPr>
  </w:style>
  <w:style w:type="character" w:customStyle="1" w:styleId="Titre8Car">
    <w:name w:val="Titre 8 Car"/>
    <w:basedOn w:val="Policepardfaut"/>
    <w:link w:val="Titre8"/>
    <w:uiPriority w:val="9"/>
    <w:semiHidden/>
    <w:rsid w:val="004115EB"/>
    <w:rPr>
      <w:caps/>
      <w:spacing w:val="10"/>
      <w:sz w:val="18"/>
      <w:szCs w:val="18"/>
    </w:rPr>
  </w:style>
  <w:style w:type="character" w:customStyle="1" w:styleId="Titre9Car">
    <w:name w:val="Titre 9 Car"/>
    <w:basedOn w:val="Policepardfaut"/>
    <w:link w:val="Titre9"/>
    <w:uiPriority w:val="9"/>
    <w:semiHidden/>
    <w:rsid w:val="004115EB"/>
    <w:rPr>
      <w:i/>
      <w:iCs/>
      <w:caps/>
      <w:spacing w:val="10"/>
      <w:sz w:val="18"/>
      <w:szCs w:val="18"/>
    </w:rPr>
  </w:style>
  <w:style w:type="paragraph" w:styleId="Lgende">
    <w:name w:val="caption"/>
    <w:basedOn w:val="Normal"/>
    <w:next w:val="Normal"/>
    <w:uiPriority w:val="35"/>
    <w:semiHidden/>
    <w:unhideWhenUsed/>
    <w:qFormat/>
    <w:rsid w:val="004115EB"/>
    <w:rPr>
      <w:b/>
      <w:bCs/>
      <w:color w:val="2E74B5" w:themeColor="accent1" w:themeShade="BF"/>
      <w:sz w:val="16"/>
      <w:szCs w:val="16"/>
    </w:rPr>
  </w:style>
  <w:style w:type="paragraph" w:styleId="Titre">
    <w:name w:val="Title"/>
    <w:basedOn w:val="Normal"/>
    <w:next w:val="Normal"/>
    <w:link w:val="TitreCar"/>
    <w:uiPriority w:val="10"/>
    <w:qFormat/>
    <w:rsid w:val="001C1646"/>
    <w:pPr>
      <w:spacing w:before="0" w:after="0"/>
      <w:jc w:val="both"/>
    </w:pPr>
    <w:rPr>
      <w:rFonts w:asciiTheme="majorHAnsi" w:eastAsiaTheme="majorEastAsia" w:hAnsiTheme="majorHAnsi" w:cstheme="majorBidi"/>
      <w:caps/>
      <w:color w:val="7030A0"/>
      <w:spacing w:val="10"/>
      <w:sz w:val="28"/>
      <w:szCs w:val="52"/>
    </w:rPr>
  </w:style>
  <w:style w:type="character" w:customStyle="1" w:styleId="TitreCar">
    <w:name w:val="Titre Car"/>
    <w:basedOn w:val="Policepardfaut"/>
    <w:link w:val="Titre"/>
    <w:uiPriority w:val="10"/>
    <w:rsid w:val="001C1646"/>
    <w:rPr>
      <w:rFonts w:asciiTheme="majorHAnsi" w:eastAsiaTheme="majorEastAsia" w:hAnsiTheme="majorHAnsi" w:cstheme="majorBidi"/>
      <w:caps/>
      <w:color w:val="7030A0"/>
      <w:spacing w:val="10"/>
      <w:sz w:val="28"/>
      <w:szCs w:val="52"/>
    </w:rPr>
  </w:style>
  <w:style w:type="paragraph" w:styleId="Sous-titre">
    <w:name w:val="Subtitle"/>
    <w:basedOn w:val="Normal"/>
    <w:next w:val="Normal"/>
    <w:link w:val="Sous-titreCar"/>
    <w:uiPriority w:val="11"/>
    <w:qFormat/>
    <w:rsid w:val="004115EB"/>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4115EB"/>
    <w:rPr>
      <w:caps/>
      <w:color w:val="595959" w:themeColor="text1" w:themeTint="A6"/>
      <w:spacing w:val="10"/>
      <w:sz w:val="21"/>
      <w:szCs w:val="21"/>
    </w:rPr>
  </w:style>
  <w:style w:type="character" w:styleId="lev">
    <w:name w:val="Strong"/>
    <w:uiPriority w:val="22"/>
    <w:qFormat/>
    <w:rsid w:val="004115EB"/>
    <w:rPr>
      <w:b/>
      <w:bCs/>
    </w:rPr>
  </w:style>
  <w:style w:type="character" w:styleId="Accentuation">
    <w:name w:val="Emphasis"/>
    <w:uiPriority w:val="20"/>
    <w:qFormat/>
    <w:rsid w:val="004115EB"/>
    <w:rPr>
      <w:caps/>
      <w:color w:val="1F4D78" w:themeColor="accent1" w:themeShade="7F"/>
      <w:spacing w:val="5"/>
    </w:rPr>
  </w:style>
  <w:style w:type="paragraph" w:styleId="Sansinterligne">
    <w:name w:val="No Spacing"/>
    <w:uiPriority w:val="1"/>
    <w:qFormat/>
    <w:rsid w:val="004115EB"/>
    <w:pPr>
      <w:spacing w:after="0" w:line="240" w:lineRule="auto"/>
    </w:pPr>
  </w:style>
  <w:style w:type="paragraph" w:styleId="Citation">
    <w:name w:val="Quote"/>
    <w:basedOn w:val="Normal"/>
    <w:next w:val="Normal"/>
    <w:link w:val="CitationCar"/>
    <w:uiPriority w:val="29"/>
    <w:qFormat/>
    <w:rsid w:val="004115EB"/>
    <w:rPr>
      <w:i/>
      <w:iCs/>
      <w:sz w:val="24"/>
      <w:szCs w:val="24"/>
    </w:rPr>
  </w:style>
  <w:style w:type="character" w:customStyle="1" w:styleId="CitationCar">
    <w:name w:val="Citation Car"/>
    <w:basedOn w:val="Policepardfaut"/>
    <w:link w:val="Citation"/>
    <w:uiPriority w:val="29"/>
    <w:rsid w:val="004115EB"/>
    <w:rPr>
      <w:i/>
      <w:iCs/>
      <w:sz w:val="24"/>
      <w:szCs w:val="24"/>
    </w:rPr>
  </w:style>
  <w:style w:type="character" w:styleId="Emphaseple">
    <w:name w:val="Subtle Emphasis"/>
    <w:uiPriority w:val="19"/>
    <w:qFormat/>
    <w:rsid w:val="004115EB"/>
    <w:rPr>
      <w:i/>
      <w:iCs/>
      <w:color w:val="1F4D78" w:themeColor="accent1" w:themeShade="7F"/>
    </w:rPr>
  </w:style>
  <w:style w:type="character" w:styleId="Emphaseintense">
    <w:name w:val="Intense Emphasis"/>
    <w:uiPriority w:val="21"/>
    <w:qFormat/>
    <w:rsid w:val="004115EB"/>
    <w:rPr>
      <w:b/>
      <w:bCs/>
      <w:caps/>
      <w:color w:val="1F4D78" w:themeColor="accent1" w:themeShade="7F"/>
      <w:spacing w:val="10"/>
    </w:rPr>
  </w:style>
  <w:style w:type="character" w:styleId="Rfrenceple">
    <w:name w:val="Subtle Reference"/>
    <w:uiPriority w:val="31"/>
    <w:qFormat/>
    <w:rsid w:val="004115EB"/>
    <w:rPr>
      <w:b/>
      <w:bCs/>
      <w:color w:val="5B9BD5" w:themeColor="accent1"/>
    </w:rPr>
  </w:style>
  <w:style w:type="character" w:styleId="Rfrenceintense">
    <w:name w:val="Intense Reference"/>
    <w:uiPriority w:val="32"/>
    <w:qFormat/>
    <w:rsid w:val="004115EB"/>
    <w:rPr>
      <w:b/>
      <w:bCs/>
      <w:i/>
      <w:iCs/>
      <w:caps/>
      <w:color w:val="5B9BD5" w:themeColor="accent1"/>
    </w:rPr>
  </w:style>
  <w:style w:type="character" w:styleId="Titredulivre">
    <w:name w:val="Book Title"/>
    <w:uiPriority w:val="33"/>
    <w:qFormat/>
    <w:rsid w:val="004115EB"/>
    <w:rPr>
      <w:b/>
      <w:bCs/>
      <w:i/>
      <w:iCs/>
      <w:spacing w:val="0"/>
    </w:rPr>
  </w:style>
  <w:style w:type="paragraph" w:customStyle="1" w:styleId="Encart">
    <w:name w:val="Encart"/>
    <w:basedOn w:val="Encadr"/>
    <w:link w:val="EncartCar"/>
    <w:qFormat/>
    <w:rsid w:val="002850D0"/>
    <w:pPr>
      <w:pBdr>
        <w:top w:val="dashed" w:sz="18" w:space="1" w:color="3C1F51"/>
        <w:left w:val="dashed" w:sz="18" w:space="4" w:color="3C1F51"/>
        <w:bottom w:val="dashed" w:sz="18" w:space="1" w:color="3C1F51"/>
        <w:right w:val="dashed" w:sz="18" w:space="4" w:color="3C1F51"/>
      </w:pBdr>
      <w:spacing w:before="180"/>
    </w:pPr>
  </w:style>
  <w:style w:type="character" w:styleId="Lienhypertextesuivivisit">
    <w:name w:val="FollowedHyperlink"/>
    <w:basedOn w:val="Policepardfaut"/>
    <w:uiPriority w:val="99"/>
    <w:semiHidden/>
    <w:unhideWhenUsed/>
    <w:rsid w:val="00EF4809"/>
    <w:rPr>
      <w:color w:val="954F72" w:themeColor="followedHyperlink"/>
      <w:u w:val="single"/>
    </w:rPr>
  </w:style>
  <w:style w:type="character" w:customStyle="1" w:styleId="EncartCar">
    <w:name w:val="Encart Car"/>
    <w:basedOn w:val="EncadrCar"/>
    <w:link w:val="Encart"/>
    <w:rsid w:val="002850D0"/>
    <w:rPr>
      <w:rFonts w:ascii="Cambria" w:eastAsia="Times New Roman" w:hAnsi="Cambria" w:cs="Times New Roman"/>
      <w:sz w:val="24"/>
      <w:szCs w:val="22"/>
    </w:rPr>
  </w:style>
  <w:style w:type="paragraph" w:styleId="NormalWeb">
    <w:name w:val="Normal (Web)"/>
    <w:basedOn w:val="Normal"/>
    <w:uiPriority w:val="99"/>
    <w:semiHidden/>
    <w:unhideWhenUsed/>
    <w:rsid w:val="00863948"/>
    <w:pPr>
      <w:spacing w:beforeAutospacing="1" w:after="100" w:afterAutospacing="1" w:line="240" w:lineRule="auto"/>
    </w:pPr>
    <w:rPr>
      <w:rFonts w:ascii="Times New Roman" w:hAnsi="Times New Roman" w:cs="Times New Roman"/>
      <w:sz w:val="24"/>
      <w:szCs w:val="24"/>
      <w:lang w:eastAsia="fr-FR"/>
    </w:rPr>
  </w:style>
  <w:style w:type="paragraph" w:customStyle="1" w:styleId="western">
    <w:name w:val="western"/>
    <w:basedOn w:val="Normal"/>
    <w:rsid w:val="00372A8C"/>
    <w:pPr>
      <w:spacing w:beforeAutospacing="1" w:after="142" w:line="288" w:lineRule="auto"/>
    </w:pPr>
    <w:rPr>
      <w:rFonts w:ascii="Times New Roman" w:eastAsia="Times New Roman" w:hAnsi="Times New Roman" w:cs="Times New Roman"/>
      <w:lang w:eastAsia="fr-FR"/>
    </w:rPr>
  </w:style>
  <w:style w:type="paragraph" w:customStyle="1" w:styleId="Exemple">
    <w:name w:val="Exemple"/>
    <w:basedOn w:val="Normal"/>
    <w:link w:val="ExempleCar"/>
    <w:qFormat/>
    <w:rsid w:val="005473C1"/>
    <w:pPr>
      <w:framePr w:wrap="around" w:vAnchor="text" w:hAnchor="text" w:y="1"/>
      <w:pBdr>
        <w:top w:val="single" w:sz="12" w:space="1" w:color="5D2884" w:shadow="1"/>
        <w:left w:val="single" w:sz="12" w:space="4" w:color="5D2884" w:shadow="1"/>
        <w:bottom w:val="single" w:sz="12" w:space="1" w:color="5D2884" w:shadow="1"/>
        <w:right w:val="single" w:sz="12" w:space="4" w:color="5D2884" w:shadow="1"/>
      </w:pBdr>
      <w:tabs>
        <w:tab w:val="left" w:pos="1786"/>
      </w:tabs>
      <w:spacing w:before="0" w:after="240"/>
      <w:jc w:val="both"/>
    </w:pPr>
    <w:rPr>
      <w:rFonts w:eastAsia="Times New Roman"/>
    </w:rPr>
  </w:style>
  <w:style w:type="character" w:customStyle="1" w:styleId="ExempleCar">
    <w:name w:val="Exemple Car"/>
    <w:basedOn w:val="Policepardfaut"/>
    <w:link w:val="Exemple"/>
    <w:rsid w:val="005473C1"/>
    <w:rPr>
      <w:rFonts w:eastAsia="Times New Roman"/>
    </w:rPr>
  </w:style>
  <w:style w:type="table" w:styleId="TableauGrille1Clair-Accentuation2">
    <w:name w:val="Grid Table 1 Light Accent 2"/>
    <w:basedOn w:val="TableauNormal"/>
    <w:uiPriority w:val="46"/>
    <w:rsid w:val="00B65C2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eauGrille5Fonc-Accentuation2">
    <w:name w:val="Grid Table 5 Dark Accent 2"/>
    <w:basedOn w:val="TableauNormal"/>
    <w:uiPriority w:val="50"/>
    <w:rsid w:val="0057110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eauGrille5Fonc-Accentuation1">
    <w:name w:val="Grid Table 5 Dark Accent 1"/>
    <w:basedOn w:val="TableauNormal"/>
    <w:uiPriority w:val="50"/>
    <w:rsid w:val="0057110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auGrille5Fonc-Accentuation3">
    <w:name w:val="Grid Table 5 Dark Accent 3"/>
    <w:basedOn w:val="TableauNormal"/>
    <w:uiPriority w:val="50"/>
    <w:rsid w:val="00C4620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41919">
      <w:bodyDiv w:val="1"/>
      <w:marLeft w:val="0"/>
      <w:marRight w:val="0"/>
      <w:marTop w:val="0"/>
      <w:marBottom w:val="0"/>
      <w:divBdr>
        <w:top w:val="none" w:sz="0" w:space="0" w:color="auto"/>
        <w:left w:val="none" w:sz="0" w:space="0" w:color="auto"/>
        <w:bottom w:val="none" w:sz="0" w:space="0" w:color="auto"/>
        <w:right w:val="none" w:sz="0" w:space="0" w:color="auto"/>
      </w:divBdr>
    </w:div>
    <w:div w:id="208995369">
      <w:bodyDiv w:val="1"/>
      <w:marLeft w:val="0"/>
      <w:marRight w:val="0"/>
      <w:marTop w:val="0"/>
      <w:marBottom w:val="0"/>
      <w:divBdr>
        <w:top w:val="none" w:sz="0" w:space="0" w:color="auto"/>
        <w:left w:val="none" w:sz="0" w:space="0" w:color="auto"/>
        <w:bottom w:val="none" w:sz="0" w:space="0" w:color="auto"/>
        <w:right w:val="none" w:sz="0" w:space="0" w:color="auto"/>
      </w:divBdr>
    </w:div>
    <w:div w:id="280693747">
      <w:bodyDiv w:val="1"/>
      <w:marLeft w:val="0"/>
      <w:marRight w:val="0"/>
      <w:marTop w:val="0"/>
      <w:marBottom w:val="0"/>
      <w:divBdr>
        <w:top w:val="none" w:sz="0" w:space="0" w:color="auto"/>
        <w:left w:val="none" w:sz="0" w:space="0" w:color="auto"/>
        <w:bottom w:val="none" w:sz="0" w:space="0" w:color="auto"/>
        <w:right w:val="none" w:sz="0" w:space="0" w:color="auto"/>
      </w:divBdr>
    </w:div>
    <w:div w:id="336231536">
      <w:bodyDiv w:val="1"/>
      <w:marLeft w:val="0"/>
      <w:marRight w:val="0"/>
      <w:marTop w:val="0"/>
      <w:marBottom w:val="0"/>
      <w:divBdr>
        <w:top w:val="none" w:sz="0" w:space="0" w:color="auto"/>
        <w:left w:val="none" w:sz="0" w:space="0" w:color="auto"/>
        <w:bottom w:val="none" w:sz="0" w:space="0" w:color="auto"/>
        <w:right w:val="none" w:sz="0" w:space="0" w:color="auto"/>
      </w:divBdr>
    </w:div>
    <w:div w:id="586767177">
      <w:bodyDiv w:val="1"/>
      <w:marLeft w:val="0"/>
      <w:marRight w:val="0"/>
      <w:marTop w:val="0"/>
      <w:marBottom w:val="0"/>
      <w:divBdr>
        <w:top w:val="none" w:sz="0" w:space="0" w:color="auto"/>
        <w:left w:val="none" w:sz="0" w:space="0" w:color="auto"/>
        <w:bottom w:val="none" w:sz="0" w:space="0" w:color="auto"/>
        <w:right w:val="none" w:sz="0" w:space="0" w:color="auto"/>
      </w:divBdr>
    </w:div>
    <w:div w:id="682706643">
      <w:bodyDiv w:val="1"/>
      <w:marLeft w:val="0"/>
      <w:marRight w:val="0"/>
      <w:marTop w:val="0"/>
      <w:marBottom w:val="0"/>
      <w:divBdr>
        <w:top w:val="none" w:sz="0" w:space="0" w:color="auto"/>
        <w:left w:val="none" w:sz="0" w:space="0" w:color="auto"/>
        <w:bottom w:val="none" w:sz="0" w:space="0" w:color="auto"/>
        <w:right w:val="none" w:sz="0" w:space="0" w:color="auto"/>
      </w:divBdr>
    </w:div>
    <w:div w:id="691537648">
      <w:bodyDiv w:val="1"/>
      <w:marLeft w:val="0"/>
      <w:marRight w:val="0"/>
      <w:marTop w:val="0"/>
      <w:marBottom w:val="0"/>
      <w:divBdr>
        <w:top w:val="none" w:sz="0" w:space="0" w:color="auto"/>
        <w:left w:val="none" w:sz="0" w:space="0" w:color="auto"/>
        <w:bottom w:val="none" w:sz="0" w:space="0" w:color="auto"/>
        <w:right w:val="none" w:sz="0" w:space="0" w:color="auto"/>
      </w:divBdr>
    </w:div>
    <w:div w:id="748310726">
      <w:bodyDiv w:val="1"/>
      <w:marLeft w:val="0"/>
      <w:marRight w:val="0"/>
      <w:marTop w:val="0"/>
      <w:marBottom w:val="0"/>
      <w:divBdr>
        <w:top w:val="none" w:sz="0" w:space="0" w:color="auto"/>
        <w:left w:val="none" w:sz="0" w:space="0" w:color="auto"/>
        <w:bottom w:val="none" w:sz="0" w:space="0" w:color="auto"/>
        <w:right w:val="none" w:sz="0" w:space="0" w:color="auto"/>
      </w:divBdr>
    </w:div>
    <w:div w:id="901599162">
      <w:bodyDiv w:val="1"/>
      <w:marLeft w:val="0"/>
      <w:marRight w:val="0"/>
      <w:marTop w:val="0"/>
      <w:marBottom w:val="0"/>
      <w:divBdr>
        <w:top w:val="none" w:sz="0" w:space="0" w:color="auto"/>
        <w:left w:val="none" w:sz="0" w:space="0" w:color="auto"/>
        <w:bottom w:val="none" w:sz="0" w:space="0" w:color="auto"/>
        <w:right w:val="none" w:sz="0" w:space="0" w:color="auto"/>
      </w:divBdr>
    </w:div>
    <w:div w:id="908031340">
      <w:bodyDiv w:val="1"/>
      <w:marLeft w:val="0"/>
      <w:marRight w:val="0"/>
      <w:marTop w:val="0"/>
      <w:marBottom w:val="0"/>
      <w:divBdr>
        <w:top w:val="none" w:sz="0" w:space="0" w:color="auto"/>
        <w:left w:val="none" w:sz="0" w:space="0" w:color="auto"/>
        <w:bottom w:val="none" w:sz="0" w:space="0" w:color="auto"/>
        <w:right w:val="none" w:sz="0" w:space="0" w:color="auto"/>
      </w:divBdr>
    </w:div>
    <w:div w:id="908033865">
      <w:bodyDiv w:val="1"/>
      <w:marLeft w:val="0"/>
      <w:marRight w:val="0"/>
      <w:marTop w:val="0"/>
      <w:marBottom w:val="0"/>
      <w:divBdr>
        <w:top w:val="none" w:sz="0" w:space="0" w:color="auto"/>
        <w:left w:val="none" w:sz="0" w:space="0" w:color="auto"/>
        <w:bottom w:val="none" w:sz="0" w:space="0" w:color="auto"/>
        <w:right w:val="none" w:sz="0" w:space="0" w:color="auto"/>
      </w:divBdr>
    </w:div>
    <w:div w:id="988634253">
      <w:bodyDiv w:val="1"/>
      <w:marLeft w:val="0"/>
      <w:marRight w:val="0"/>
      <w:marTop w:val="0"/>
      <w:marBottom w:val="0"/>
      <w:divBdr>
        <w:top w:val="none" w:sz="0" w:space="0" w:color="auto"/>
        <w:left w:val="none" w:sz="0" w:space="0" w:color="auto"/>
        <w:bottom w:val="none" w:sz="0" w:space="0" w:color="auto"/>
        <w:right w:val="none" w:sz="0" w:space="0" w:color="auto"/>
      </w:divBdr>
    </w:div>
    <w:div w:id="1041319016">
      <w:bodyDiv w:val="1"/>
      <w:marLeft w:val="0"/>
      <w:marRight w:val="0"/>
      <w:marTop w:val="0"/>
      <w:marBottom w:val="0"/>
      <w:divBdr>
        <w:top w:val="none" w:sz="0" w:space="0" w:color="auto"/>
        <w:left w:val="none" w:sz="0" w:space="0" w:color="auto"/>
        <w:bottom w:val="none" w:sz="0" w:space="0" w:color="auto"/>
        <w:right w:val="none" w:sz="0" w:space="0" w:color="auto"/>
      </w:divBdr>
      <w:divsChild>
        <w:div w:id="277682276">
          <w:marLeft w:val="0"/>
          <w:marRight w:val="0"/>
          <w:marTop w:val="0"/>
          <w:marBottom w:val="0"/>
          <w:divBdr>
            <w:top w:val="none" w:sz="0" w:space="0" w:color="auto"/>
            <w:left w:val="none" w:sz="0" w:space="0" w:color="auto"/>
            <w:bottom w:val="none" w:sz="0" w:space="0" w:color="auto"/>
            <w:right w:val="none" w:sz="0" w:space="0" w:color="auto"/>
          </w:divBdr>
          <w:divsChild>
            <w:div w:id="995376513">
              <w:marLeft w:val="0"/>
              <w:marRight w:val="0"/>
              <w:marTop w:val="0"/>
              <w:marBottom w:val="0"/>
              <w:divBdr>
                <w:top w:val="none" w:sz="0" w:space="0" w:color="auto"/>
                <w:left w:val="none" w:sz="0" w:space="0" w:color="auto"/>
                <w:bottom w:val="none" w:sz="0" w:space="0" w:color="auto"/>
                <w:right w:val="none" w:sz="0" w:space="0" w:color="auto"/>
              </w:divBdr>
              <w:divsChild>
                <w:div w:id="1794668577">
                  <w:marLeft w:val="0"/>
                  <w:marRight w:val="0"/>
                  <w:marTop w:val="0"/>
                  <w:marBottom w:val="0"/>
                  <w:divBdr>
                    <w:top w:val="none" w:sz="0" w:space="0" w:color="auto"/>
                    <w:left w:val="none" w:sz="0" w:space="0" w:color="auto"/>
                    <w:bottom w:val="none" w:sz="0" w:space="0" w:color="auto"/>
                    <w:right w:val="none" w:sz="0" w:space="0" w:color="auto"/>
                  </w:divBdr>
                  <w:divsChild>
                    <w:div w:id="2004164413">
                      <w:marLeft w:val="0"/>
                      <w:marRight w:val="0"/>
                      <w:marTop w:val="0"/>
                      <w:marBottom w:val="0"/>
                      <w:divBdr>
                        <w:top w:val="none" w:sz="0" w:space="0" w:color="auto"/>
                        <w:left w:val="none" w:sz="0" w:space="0" w:color="auto"/>
                        <w:bottom w:val="none" w:sz="0" w:space="0" w:color="auto"/>
                        <w:right w:val="none" w:sz="0" w:space="0" w:color="auto"/>
                      </w:divBdr>
                      <w:divsChild>
                        <w:div w:id="1458643697">
                          <w:marLeft w:val="0"/>
                          <w:marRight w:val="0"/>
                          <w:marTop w:val="0"/>
                          <w:marBottom w:val="0"/>
                          <w:divBdr>
                            <w:top w:val="none" w:sz="0" w:space="0" w:color="auto"/>
                            <w:left w:val="none" w:sz="0" w:space="0" w:color="auto"/>
                            <w:bottom w:val="none" w:sz="0" w:space="0" w:color="auto"/>
                            <w:right w:val="none" w:sz="0" w:space="0" w:color="auto"/>
                          </w:divBdr>
                          <w:divsChild>
                            <w:div w:id="357971183">
                              <w:marLeft w:val="0"/>
                              <w:marRight w:val="0"/>
                              <w:marTop w:val="0"/>
                              <w:marBottom w:val="0"/>
                              <w:divBdr>
                                <w:top w:val="none" w:sz="0" w:space="0" w:color="auto"/>
                                <w:left w:val="none" w:sz="0" w:space="0" w:color="auto"/>
                                <w:bottom w:val="none" w:sz="0" w:space="0" w:color="auto"/>
                                <w:right w:val="none" w:sz="0" w:space="0" w:color="auto"/>
                              </w:divBdr>
                              <w:divsChild>
                                <w:div w:id="315958118">
                                  <w:marLeft w:val="0"/>
                                  <w:marRight w:val="0"/>
                                  <w:marTop w:val="0"/>
                                  <w:marBottom w:val="0"/>
                                  <w:divBdr>
                                    <w:top w:val="none" w:sz="0" w:space="0" w:color="auto"/>
                                    <w:left w:val="none" w:sz="0" w:space="0" w:color="auto"/>
                                    <w:bottom w:val="none" w:sz="0" w:space="0" w:color="auto"/>
                                    <w:right w:val="none" w:sz="0" w:space="0" w:color="auto"/>
                                  </w:divBdr>
                                  <w:divsChild>
                                    <w:div w:id="1937521218">
                                      <w:marLeft w:val="0"/>
                                      <w:marRight w:val="0"/>
                                      <w:marTop w:val="0"/>
                                      <w:marBottom w:val="0"/>
                                      <w:divBdr>
                                        <w:top w:val="none" w:sz="0" w:space="0" w:color="auto"/>
                                        <w:left w:val="none" w:sz="0" w:space="0" w:color="auto"/>
                                        <w:bottom w:val="none" w:sz="0" w:space="0" w:color="auto"/>
                                        <w:right w:val="none" w:sz="0" w:space="0" w:color="auto"/>
                                      </w:divBdr>
                                      <w:divsChild>
                                        <w:div w:id="172185826">
                                          <w:marLeft w:val="0"/>
                                          <w:marRight w:val="0"/>
                                          <w:marTop w:val="0"/>
                                          <w:marBottom w:val="0"/>
                                          <w:divBdr>
                                            <w:top w:val="none" w:sz="0" w:space="0" w:color="auto"/>
                                            <w:left w:val="none" w:sz="0" w:space="0" w:color="auto"/>
                                            <w:bottom w:val="none" w:sz="0" w:space="0" w:color="auto"/>
                                            <w:right w:val="none" w:sz="0" w:space="0" w:color="auto"/>
                                          </w:divBdr>
                                          <w:divsChild>
                                            <w:div w:id="555699739">
                                              <w:marLeft w:val="0"/>
                                              <w:marRight w:val="0"/>
                                              <w:marTop w:val="0"/>
                                              <w:marBottom w:val="0"/>
                                              <w:divBdr>
                                                <w:top w:val="none" w:sz="0" w:space="0" w:color="auto"/>
                                                <w:left w:val="none" w:sz="0" w:space="0" w:color="auto"/>
                                                <w:bottom w:val="none" w:sz="0" w:space="0" w:color="auto"/>
                                                <w:right w:val="none" w:sz="0" w:space="0" w:color="auto"/>
                                              </w:divBdr>
                                              <w:divsChild>
                                                <w:div w:id="1276332738">
                                                  <w:marLeft w:val="0"/>
                                                  <w:marRight w:val="0"/>
                                                  <w:marTop w:val="0"/>
                                                  <w:marBottom w:val="0"/>
                                                  <w:divBdr>
                                                    <w:top w:val="none" w:sz="0" w:space="0" w:color="auto"/>
                                                    <w:left w:val="none" w:sz="0" w:space="0" w:color="auto"/>
                                                    <w:bottom w:val="none" w:sz="0" w:space="0" w:color="auto"/>
                                                    <w:right w:val="none" w:sz="0" w:space="0" w:color="auto"/>
                                                  </w:divBdr>
                                                  <w:divsChild>
                                                    <w:div w:id="187645538">
                                                      <w:marLeft w:val="0"/>
                                                      <w:marRight w:val="0"/>
                                                      <w:marTop w:val="0"/>
                                                      <w:marBottom w:val="0"/>
                                                      <w:divBdr>
                                                        <w:top w:val="none" w:sz="0" w:space="0" w:color="auto"/>
                                                        <w:left w:val="none" w:sz="0" w:space="0" w:color="auto"/>
                                                        <w:bottom w:val="none" w:sz="0" w:space="0" w:color="auto"/>
                                                        <w:right w:val="none" w:sz="0" w:space="0" w:color="auto"/>
                                                      </w:divBdr>
                                                      <w:divsChild>
                                                        <w:div w:id="372538670">
                                                          <w:marLeft w:val="0"/>
                                                          <w:marRight w:val="0"/>
                                                          <w:marTop w:val="0"/>
                                                          <w:marBottom w:val="0"/>
                                                          <w:divBdr>
                                                            <w:top w:val="none" w:sz="0" w:space="0" w:color="auto"/>
                                                            <w:left w:val="none" w:sz="0" w:space="0" w:color="auto"/>
                                                            <w:bottom w:val="none" w:sz="0" w:space="0" w:color="auto"/>
                                                            <w:right w:val="none" w:sz="0" w:space="0" w:color="auto"/>
                                                          </w:divBdr>
                                                          <w:divsChild>
                                                            <w:div w:id="125739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82676052">
      <w:bodyDiv w:val="1"/>
      <w:marLeft w:val="0"/>
      <w:marRight w:val="0"/>
      <w:marTop w:val="0"/>
      <w:marBottom w:val="0"/>
      <w:divBdr>
        <w:top w:val="none" w:sz="0" w:space="0" w:color="auto"/>
        <w:left w:val="none" w:sz="0" w:space="0" w:color="auto"/>
        <w:bottom w:val="none" w:sz="0" w:space="0" w:color="auto"/>
        <w:right w:val="none" w:sz="0" w:space="0" w:color="auto"/>
      </w:divBdr>
      <w:divsChild>
        <w:div w:id="1116829786">
          <w:marLeft w:val="547"/>
          <w:marRight w:val="0"/>
          <w:marTop w:val="0"/>
          <w:marBottom w:val="180"/>
          <w:divBdr>
            <w:top w:val="none" w:sz="0" w:space="0" w:color="auto"/>
            <w:left w:val="none" w:sz="0" w:space="0" w:color="auto"/>
            <w:bottom w:val="none" w:sz="0" w:space="0" w:color="auto"/>
            <w:right w:val="none" w:sz="0" w:space="0" w:color="auto"/>
          </w:divBdr>
        </w:div>
      </w:divsChild>
    </w:div>
    <w:div w:id="1139223342">
      <w:bodyDiv w:val="1"/>
      <w:marLeft w:val="0"/>
      <w:marRight w:val="0"/>
      <w:marTop w:val="0"/>
      <w:marBottom w:val="0"/>
      <w:divBdr>
        <w:top w:val="none" w:sz="0" w:space="0" w:color="auto"/>
        <w:left w:val="none" w:sz="0" w:space="0" w:color="auto"/>
        <w:bottom w:val="none" w:sz="0" w:space="0" w:color="auto"/>
        <w:right w:val="none" w:sz="0" w:space="0" w:color="auto"/>
      </w:divBdr>
    </w:div>
    <w:div w:id="1168519368">
      <w:bodyDiv w:val="1"/>
      <w:marLeft w:val="0"/>
      <w:marRight w:val="0"/>
      <w:marTop w:val="0"/>
      <w:marBottom w:val="0"/>
      <w:divBdr>
        <w:top w:val="none" w:sz="0" w:space="0" w:color="auto"/>
        <w:left w:val="none" w:sz="0" w:space="0" w:color="auto"/>
        <w:bottom w:val="none" w:sz="0" w:space="0" w:color="auto"/>
        <w:right w:val="none" w:sz="0" w:space="0" w:color="auto"/>
      </w:divBdr>
    </w:div>
    <w:div w:id="1229733456">
      <w:bodyDiv w:val="1"/>
      <w:marLeft w:val="0"/>
      <w:marRight w:val="0"/>
      <w:marTop w:val="0"/>
      <w:marBottom w:val="0"/>
      <w:divBdr>
        <w:top w:val="none" w:sz="0" w:space="0" w:color="auto"/>
        <w:left w:val="none" w:sz="0" w:space="0" w:color="auto"/>
        <w:bottom w:val="none" w:sz="0" w:space="0" w:color="auto"/>
        <w:right w:val="none" w:sz="0" w:space="0" w:color="auto"/>
      </w:divBdr>
    </w:div>
    <w:div w:id="1275794583">
      <w:bodyDiv w:val="1"/>
      <w:marLeft w:val="0"/>
      <w:marRight w:val="0"/>
      <w:marTop w:val="0"/>
      <w:marBottom w:val="0"/>
      <w:divBdr>
        <w:top w:val="none" w:sz="0" w:space="0" w:color="auto"/>
        <w:left w:val="none" w:sz="0" w:space="0" w:color="auto"/>
        <w:bottom w:val="none" w:sz="0" w:space="0" w:color="auto"/>
        <w:right w:val="none" w:sz="0" w:space="0" w:color="auto"/>
      </w:divBdr>
    </w:div>
    <w:div w:id="1314330094">
      <w:bodyDiv w:val="1"/>
      <w:marLeft w:val="0"/>
      <w:marRight w:val="0"/>
      <w:marTop w:val="0"/>
      <w:marBottom w:val="0"/>
      <w:divBdr>
        <w:top w:val="none" w:sz="0" w:space="0" w:color="auto"/>
        <w:left w:val="none" w:sz="0" w:space="0" w:color="auto"/>
        <w:bottom w:val="none" w:sz="0" w:space="0" w:color="auto"/>
        <w:right w:val="none" w:sz="0" w:space="0" w:color="auto"/>
      </w:divBdr>
    </w:div>
    <w:div w:id="1413165316">
      <w:bodyDiv w:val="1"/>
      <w:marLeft w:val="0"/>
      <w:marRight w:val="0"/>
      <w:marTop w:val="0"/>
      <w:marBottom w:val="0"/>
      <w:divBdr>
        <w:top w:val="none" w:sz="0" w:space="0" w:color="auto"/>
        <w:left w:val="none" w:sz="0" w:space="0" w:color="auto"/>
        <w:bottom w:val="none" w:sz="0" w:space="0" w:color="auto"/>
        <w:right w:val="none" w:sz="0" w:space="0" w:color="auto"/>
      </w:divBdr>
    </w:div>
    <w:div w:id="1471366966">
      <w:bodyDiv w:val="1"/>
      <w:marLeft w:val="0"/>
      <w:marRight w:val="0"/>
      <w:marTop w:val="0"/>
      <w:marBottom w:val="0"/>
      <w:divBdr>
        <w:top w:val="none" w:sz="0" w:space="0" w:color="auto"/>
        <w:left w:val="none" w:sz="0" w:space="0" w:color="auto"/>
        <w:bottom w:val="none" w:sz="0" w:space="0" w:color="auto"/>
        <w:right w:val="none" w:sz="0" w:space="0" w:color="auto"/>
      </w:divBdr>
    </w:div>
    <w:div w:id="1591428911">
      <w:bodyDiv w:val="1"/>
      <w:marLeft w:val="0"/>
      <w:marRight w:val="0"/>
      <w:marTop w:val="0"/>
      <w:marBottom w:val="0"/>
      <w:divBdr>
        <w:top w:val="none" w:sz="0" w:space="0" w:color="auto"/>
        <w:left w:val="none" w:sz="0" w:space="0" w:color="auto"/>
        <w:bottom w:val="none" w:sz="0" w:space="0" w:color="auto"/>
        <w:right w:val="none" w:sz="0" w:space="0" w:color="auto"/>
      </w:divBdr>
    </w:div>
    <w:div w:id="1602030266">
      <w:bodyDiv w:val="1"/>
      <w:marLeft w:val="0"/>
      <w:marRight w:val="0"/>
      <w:marTop w:val="0"/>
      <w:marBottom w:val="0"/>
      <w:divBdr>
        <w:top w:val="none" w:sz="0" w:space="0" w:color="auto"/>
        <w:left w:val="none" w:sz="0" w:space="0" w:color="auto"/>
        <w:bottom w:val="none" w:sz="0" w:space="0" w:color="auto"/>
        <w:right w:val="none" w:sz="0" w:space="0" w:color="auto"/>
      </w:divBdr>
      <w:divsChild>
        <w:div w:id="1160345961">
          <w:marLeft w:val="446"/>
          <w:marRight w:val="0"/>
          <w:marTop w:val="0"/>
          <w:marBottom w:val="80"/>
          <w:divBdr>
            <w:top w:val="none" w:sz="0" w:space="0" w:color="auto"/>
            <w:left w:val="none" w:sz="0" w:space="0" w:color="auto"/>
            <w:bottom w:val="none" w:sz="0" w:space="0" w:color="auto"/>
            <w:right w:val="none" w:sz="0" w:space="0" w:color="auto"/>
          </w:divBdr>
        </w:div>
      </w:divsChild>
    </w:div>
    <w:div w:id="1838374356">
      <w:bodyDiv w:val="1"/>
      <w:marLeft w:val="0"/>
      <w:marRight w:val="0"/>
      <w:marTop w:val="0"/>
      <w:marBottom w:val="0"/>
      <w:divBdr>
        <w:top w:val="none" w:sz="0" w:space="0" w:color="auto"/>
        <w:left w:val="none" w:sz="0" w:space="0" w:color="auto"/>
        <w:bottom w:val="none" w:sz="0" w:space="0" w:color="auto"/>
        <w:right w:val="none" w:sz="0" w:space="0" w:color="auto"/>
      </w:divBdr>
    </w:div>
    <w:div w:id="1865626891">
      <w:bodyDiv w:val="1"/>
      <w:marLeft w:val="390"/>
      <w:marRight w:val="390"/>
      <w:marTop w:val="0"/>
      <w:marBottom w:val="0"/>
      <w:divBdr>
        <w:top w:val="none" w:sz="0" w:space="0" w:color="auto"/>
        <w:left w:val="none" w:sz="0" w:space="0" w:color="auto"/>
        <w:bottom w:val="none" w:sz="0" w:space="0" w:color="auto"/>
        <w:right w:val="none" w:sz="0" w:space="0" w:color="auto"/>
      </w:divBdr>
    </w:div>
    <w:div w:id="1990859432">
      <w:bodyDiv w:val="1"/>
      <w:marLeft w:val="0"/>
      <w:marRight w:val="0"/>
      <w:marTop w:val="0"/>
      <w:marBottom w:val="0"/>
      <w:divBdr>
        <w:top w:val="none" w:sz="0" w:space="0" w:color="auto"/>
        <w:left w:val="none" w:sz="0" w:space="0" w:color="auto"/>
        <w:bottom w:val="none" w:sz="0" w:space="0" w:color="auto"/>
        <w:right w:val="none" w:sz="0" w:space="0" w:color="auto"/>
      </w:divBdr>
    </w:div>
    <w:div w:id="2022659860">
      <w:bodyDiv w:val="1"/>
      <w:marLeft w:val="0"/>
      <w:marRight w:val="0"/>
      <w:marTop w:val="0"/>
      <w:marBottom w:val="0"/>
      <w:divBdr>
        <w:top w:val="none" w:sz="0" w:space="0" w:color="auto"/>
        <w:left w:val="none" w:sz="0" w:space="0" w:color="auto"/>
        <w:bottom w:val="none" w:sz="0" w:space="0" w:color="auto"/>
        <w:right w:val="none" w:sz="0" w:space="0" w:color="auto"/>
      </w:divBdr>
    </w:div>
    <w:div w:id="213794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france.gouv.fr/affichCodeArticle.do;jsessionid=341600B42B9C2E578C77189626F04E2A.tplgfr35s_1?idArticle=LEGIARTI000037731007&amp;cidTexte=LEGITEXT000037701019&amp;dateTexte=20190401" TargetMode="External"/><Relationship Id="rId21" Type="http://schemas.openxmlformats.org/officeDocument/2006/relationships/image" Target="media/image7.png"/><Relationship Id="rId34" Type="http://schemas.openxmlformats.org/officeDocument/2006/relationships/hyperlink" Target="https://www.economie.gouv.fr/files/files/directions_services/daj/marches_publics/conseil_acheteurs/fiches-techniques/preparation-procedure/allotissement-dans-marches-2019.pdf" TargetMode="External"/><Relationship Id="rId42" Type="http://schemas.openxmlformats.org/officeDocument/2006/relationships/diagramColors" Target="diagrams/colors1.xml"/><Relationship Id="rId47" Type="http://schemas.openxmlformats.org/officeDocument/2006/relationships/diagramLayout" Target="diagrams/layout2.xml"/><Relationship Id="rId50" Type="http://schemas.microsoft.com/office/2007/relationships/diagramDrawing" Target="diagrams/drawing2.xml"/><Relationship Id="rId55" Type="http://schemas.openxmlformats.org/officeDocument/2006/relationships/diagramQuickStyle" Target="diagrams/quickStyle3.xml"/><Relationship Id="rId63" Type="http://schemas.openxmlformats.org/officeDocument/2006/relationships/hyperlink" Target="https://www.economie.gouv.fr/daj/conseil-acheteurs-fiches-techniques" TargetMode="External"/><Relationship Id="rId68" Type="http://schemas.openxmlformats.org/officeDocument/2006/relationships/image" Target="media/image27.png"/><Relationship Id="rId76" Type="http://schemas.openxmlformats.org/officeDocument/2006/relationships/hyperlink" Target="https://chorus-pro.gouv.fr/cpp/utilisateur?execution=e1s1" TargetMode="External"/><Relationship Id="rId84" Type="http://schemas.openxmlformats.org/officeDocument/2006/relationships/hyperlink" Target="https://www.economie.gouv.fr/files/files/directions_services/daj/marches_publics/oeap/concertation/autres_groupes_travail/guide-prix-dans-mp.pdf" TargetMode="External"/><Relationship Id="rId89" Type="http://schemas.openxmlformats.org/officeDocument/2006/relationships/image" Target="media/image43.png"/><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29.png"/><Relationship Id="rId9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image" Target="media/image12.png"/><Relationship Id="rId11" Type="http://schemas.openxmlformats.org/officeDocument/2006/relationships/footer" Target="footer1.xml"/><Relationship Id="rId24" Type="http://schemas.openxmlformats.org/officeDocument/2006/relationships/image" Target="media/image9.png"/><Relationship Id="rId32" Type="http://schemas.openxmlformats.org/officeDocument/2006/relationships/image" Target="media/image14.png"/><Relationship Id="rId37" Type="http://schemas.openxmlformats.org/officeDocument/2006/relationships/image" Target="media/image17.png"/><Relationship Id="rId40" Type="http://schemas.openxmlformats.org/officeDocument/2006/relationships/diagramLayout" Target="diagrams/layout1.xml"/><Relationship Id="rId45" Type="http://schemas.openxmlformats.org/officeDocument/2006/relationships/hyperlink" Target="https://www.legifrance.gouv.fr/affichCode.do?cidTexte=LEGITEXT000037701019&amp;idSectionTA=LEGISCTA000037730489&amp;dateTexte=20190401" TargetMode="External"/><Relationship Id="rId53" Type="http://schemas.openxmlformats.org/officeDocument/2006/relationships/diagramData" Target="diagrams/data3.xml"/><Relationship Id="rId58" Type="http://schemas.openxmlformats.org/officeDocument/2006/relationships/image" Target="media/image19.emf"/><Relationship Id="rId66" Type="http://schemas.openxmlformats.org/officeDocument/2006/relationships/image" Target="media/image26.png"/><Relationship Id="rId74" Type="http://schemas.openxmlformats.org/officeDocument/2006/relationships/image" Target="media/image32.png"/><Relationship Id="rId79" Type="http://schemas.openxmlformats.org/officeDocument/2006/relationships/image" Target="media/image36.png"/><Relationship Id="rId87" Type="http://schemas.openxmlformats.org/officeDocument/2006/relationships/image" Target="media/image42.png"/><Relationship Id="rId5" Type="http://schemas.openxmlformats.org/officeDocument/2006/relationships/webSettings" Target="webSettings.xml"/><Relationship Id="rId61" Type="http://schemas.openxmlformats.org/officeDocument/2006/relationships/image" Target="media/image22.png"/><Relationship Id="rId82" Type="http://schemas.openxmlformats.org/officeDocument/2006/relationships/image" Target="media/image38.png"/><Relationship Id="rId90" Type="http://schemas.openxmlformats.org/officeDocument/2006/relationships/hyperlink" Target="https://www.economie.gouv.fr/files/files/directions_services/daj/marches_publics/conseil_acheteurs/fiches-techniques/execution-marches/sous-traitance-2019.pdf" TargetMode="External"/><Relationship Id="rId95" Type="http://schemas.openxmlformats.org/officeDocument/2006/relationships/header" Target="header6.xml"/><Relationship Id="rId19" Type="http://schemas.openxmlformats.org/officeDocument/2006/relationships/image" Target="media/image6.png"/><Relationship Id="rId14" Type="http://schemas.openxmlformats.org/officeDocument/2006/relationships/image" Target="media/image3.png"/><Relationship Id="rId22" Type="http://schemas.openxmlformats.org/officeDocument/2006/relationships/image" Target="media/image8.png"/><Relationship Id="rId27" Type="http://schemas.openxmlformats.org/officeDocument/2006/relationships/hyperlink" Target="https://www.legifrance.gouv.fr/affichCodeArticle.do;jsessionid=341600B42B9C2E578C77189626F04E2A.tplgfr35s_1?idArticle=LEGIARTI000037731005&amp;cidTexte=LEGITEXT000037701019&amp;dateTexte=20190401" TargetMode="External"/><Relationship Id="rId30" Type="http://schemas.openxmlformats.org/officeDocument/2006/relationships/hyperlink" Target="https://www.economie.gouv.fr/files/files/directions_services/daj/marches_publics/conseil_acheteurs/fiches-techniques/preparation-procedure/definition-besoin-2019.pdf" TargetMode="External"/><Relationship Id="rId35" Type="http://schemas.openxmlformats.org/officeDocument/2006/relationships/image" Target="media/image15.png"/><Relationship Id="rId43" Type="http://schemas.microsoft.com/office/2007/relationships/diagramDrawing" Target="diagrams/drawing1.xml"/><Relationship Id="rId48" Type="http://schemas.openxmlformats.org/officeDocument/2006/relationships/diagramQuickStyle" Target="diagrams/quickStyle2.xml"/><Relationship Id="rId56" Type="http://schemas.openxmlformats.org/officeDocument/2006/relationships/diagramColors" Target="diagrams/colors3.xml"/><Relationship Id="rId64" Type="http://schemas.openxmlformats.org/officeDocument/2006/relationships/image" Target="media/image24.png"/><Relationship Id="rId69" Type="http://schemas.openxmlformats.org/officeDocument/2006/relationships/image" Target="media/image28.png"/><Relationship Id="rId77" Type="http://schemas.openxmlformats.org/officeDocument/2006/relationships/image" Target="media/image34.png"/><Relationship Id="rId8" Type="http://schemas.openxmlformats.org/officeDocument/2006/relationships/image" Target="media/image1.png"/><Relationship Id="rId51" Type="http://schemas.openxmlformats.org/officeDocument/2006/relationships/image" Target="media/image18.png"/><Relationship Id="rId72" Type="http://schemas.openxmlformats.org/officeDocument/2006/relationships/image" Target="media/image30.png"/><Relationship Id="rId80" Type="http://schemas.openxmlformats.org/officeDocument/2006/relationships/image" Target="media/image37.png"/><Relationship Id="rId85" Type="http://schemas.openxmlformats.org/officeDocument/2006/relationships/image" Target="media/image40.png"/><Relationship Id="rId93" Type="http://schemas.openxmlformats.org/officeDocument/2006/relationships/footer" Target="footer2.xm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image" Target="media/image10.png"/><Relationship Id="rId33" Type="http://schemas.openxmlformats.org/officeDocument/2006/relationships/hyperlink" Target="https://www.legifrance.gouv.fr/affichCodeArticle.do;jsessionid=28695040FF351B7DC586EF3A9809767E.tplgfr34s_2?idArticle=LEGIARTI000037703515&amp;cidTexte=LEGITEXT000037701019&amp;dateTexte=20190401" TargetMode="External"/><Relationship Id="rId38" Type="http://schemas.openxmlformats.org/officeDocument/2006/relationships/hyperlink" Target="https://www.legifrance.gouv.fr/affichTexte.do?cidTexte=JORFTEXT000032320619&amp;dateTexte=&amp;categorieLien=id" TargetMode="External"/><Relationship Id="rId46" Type="http://schemas.openxmlformats.org/officeDocument/2006/relationships/diagramData" Target="diagrams/data2.xml"/><Relationship Id="rId59" Type="http://schemas.openxmlformats.org/officeDocument/2006/relationships/image" Target="media/image20.png"/><Relationship Id="rId67" Type="http://schemas.openxmlformats.org/officeDocument/2006/relationships/hyperlink" Target="https://www.economie.gouv.fr/files/files/directions_services/daj/marches_publics/conseil_acheteurs/fiches-techniques/mise-en-oeuvre-procedure/offre-anormalement-basse-2019.pdf" TargetMode="External"/><Relationship Id="rId20" Type="http://schemas.openxmlformats.org/officeDocument/2006/relationships/hyperlink" Target="https://www.legifrance.gouv.fr/affichTexteArticle.do;jsessionid=A41B615266E7DE247EAD5F0155C826C2.tplgfr35s_3?idArticle=JORFARTI000037698280&amp;cidTexte=JORFTEXT000037696277&amp;dateTexte=29990101&amp;categorieLien=id" TargetMode="External"/><Relationship Id="rId41" Type="http://schemas.openxmlformats.org/officeDocument/2006/relationships/diagramQuickStyle" Target="diagrams/quickStyle1.xml"/><Relationship Id="rId54" Type="http://schemas.openxmlformats.org/officeDocument/2006/relationships/diagramLayout" Target="diagrams/layout3.xml"/><Relationship Id="rId62" Type="http://schemas.openxmlformats.org/officeDocument/2006/relationships/image" Target="media/image23.png"/><Relationship Id="rId70" Type="http://schemas.openxmlformats.org/officeDocument/2006/relationships/hyperlink" Target="https://www.economie.gouv.fr/files/files/directions_services/daj/marches_publics/conseil_acheteurs/fiches-techniques/mise-en-oeuvre-procedure/remise-echantillons-maquettes-prototypes-2019.pdf" TargetMode="External"/><Relationship Id="rId75" Type="http://schemas.openxmlformats.org/officeDocument/2006/relationships/image" Target="media/image33.png"/><Relationship Id="rId83" Type="http://schemas.openxmlformats.org/officeDocument/2006/relationships/image" Target="media/image39.png"/><Relationship Id="rId88" Type="http://schemas.openxmlformats.org/officeDocument/2006/relationships/hyperlink" Target="https://www.economie.gouv.fr/daj/formulaires-declaration-du-candidat" TargetMode="External"/><Relationship Id="rId91" Type="http://schemas.openxmlformats.org/officeDocument/2006/relationships/header" Target="header4.xml"/><Relationship Id="rId9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ur-lex.europa.eu/legal-content/FR/TXT/HTML/?uri=CELEX:32003H0361&amp;from=FR" TargetMode="External"/><Relationship Id="rId23" Type="http://schemas.openxmlformats.org/officeDocument/2006/relationships/hyperlink" Target="https://www.economie.gouv.fr/dae/sourcing-operationnel-guide-lachat-public-a-disposition-des-acheteurs-publics" TargetMode="External"/><Relationship Id="rId28" Type="http://schemas.openxmlformats.org/officeDocument/2006/relationships/image" Target="media/image11.png"/><Relationship Id="rId36" Type="http://schemas.openxmlformats.org/officeDocument/2006/relationships/image" Target="media/image16.png"/><Relationship Id="rId49" Type="http://schemas.openxmlformats.org/officeDocument/2006/relationships/diagramColors" Target="diagrams/colors2.xml"/><Relationship Id="rId57" Type="http://schemas.microsoft.com/office/2007/relationships/diagramDrawing" Target="diagrams/drawing3.xml"/><Relationship Id="rId114" Type="http://schemas.microsoft.com/office/2016/09/relationships/commentsIds" Target="commentsIds.xml"/><Relationship Id="rId10" Type="http://schemas.openxmlformats.org/officeDocument/2006/relationships/header" Target="header2.xml"/><Relationship Id="rId31" Type="http://schemas.openxmlformats.org/officeDocument/2006/relationships/image" Target="media/image13.png"/><Relationship Id="rId44" Type="http://schemas.openxmlformats.org/officeDocument/2006/relationships/hyperlink" Target="https://www.economie.gouv.fr/files/files/directions_services/daj/marches_publics/conseil_acheteurs/fiches-techniques/mise-en-oeuvre-procedure/examen-candidatures-2019.pdf" TargetMode="External"/><Relationship Id="rId52" Type="http://schemas.openxmlformats.org/officeDocument/2006/relationships/hyperlink" Target="https://www.economie.gouv.fr/files/files/directions_services/daj/marches_publics/oeap/concertation/autres_groupes_travail/guide-prix-dans-mp.pdf" TargetMode="External"/><Relationship Id="rId60" Type="http://schemas.openxmlformats.org/officeDocument/2006/relationships/image" Target="media/image21.png"/><Relationship Id="rId65" Type="http://schemas.openxmlformats.org/officeDocument/2006/relationships/image" Target="media/image25.png"/><Relationship Id="rId73" Type="http://schemas.openxmlformats.org/officeDocument/2006/relationships/image" Target="media/image31.png"/><Relationship Id="rId78" Type="http://schemas.openxmlformats.org/officeDocument/2006/relationships/image" Target="media/image35.png"/><Relationship Id="rId81" Type="http://schemas.openxmlformats.org/officeDocument/2006/relationships/hyperlink" Target="https://www.economie.gouv.fr/files/files/directions_services/daj/marches_publics/conseil_acheteurs/fiches-techniques/execution-marches/modalites-modif-contrats-en-cours-2019-2.pdf" TargetMode="External"/><Relationship Id="rId86" Type="http://schemas.openxmlformats.org/officeDocument/2006/relationships/image" Target="media/image41.png"/><Relationship Id="rId9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www.economie.gouv.fr/daj/dematerialisation-commande-publique" TargetMode="External"/><Relationship Id="rId18" Type="http://schemas.openxmlformats.org/officeDocument/2006/relationships/hyperlink" Target="https://www.ugap.fr/achat-public-responsable/soutien-aux-politiques-publiques/acces-des-pme-a-la-commande-publique/chiffres-cles-2017_2755720.html" TargetMode="External"/><Relationship Id="rId39" Type="http://schemas.openxmlformats.org/officeDocument/2006/relationships/diagramData" Target="diagrams/data1.xml"/></Relationships>
</file>

<file path=word/_rels/footnotes.xml.rels><?xml version="1.0" encoding="UTF-8" standalone="yes"?>
<Relationships xmlns="http://schemas.openxmlformats.org/package/2006/relationships"><Relationship Id="rId8" Type="http://schemas.openxmlformats.org/officeDocument/2006/relationships/hyperlink" Target="https://www.bordeaux-metropole.fr/content/download/1169/10195/version/10/file/charte-deontologique-achats.pdf" TargetMode="External"/><Relationship Id="rId13" Type="http://schemas.openxmlformats.org/officeDocument/2006/relationships/hyperlink" Target="https://www.economie.gouv.fr/files/files/directions_services/daj/marches_publics/conseil_acheteurs/fiches-techniques/execution-marches/avances-2019.pdf" TargetMode="External"/><Relationship Id="rId18" Type="http://schemas.openxmlformats.org/officeDocument/2006/relationships/hyperlink" Target="https://www.legifrance.gouv.fr/affichTexte.do?cidTexte=JORFTEXT000000440775&amp;dateTexte=&amp;categorieLien=id" TargetMode="External"/><Relationship Id="rId3" Type="http://schemas.openxmlformats.org/officeDocument/2006/relationships/hyperlink" Target="https://www.economie.gouv.fr/files/files/directions_services/daj/marches_publics/oeap/gem/guide-climat/guide-climat.pdf" TargetMode="External"/><Relationship Id="rId7" Type="http://schemas.openxmlformats.org/officeDocument/2006/relationships/hyperlink" Target="https://api-site-cdn.paris.fr/images/99462" TargetMode="External"/><Relationship Id="rId12" Type="http://schemas.openxmlformats.org/officeDocument/2006/relationships/hyperlink" Target="https://www.medef.com/fr/content/commande-publique-guide-pratique-sur-la-protection-des-informations-sensibles-des-entreprises" TargetMode="External"/><Relationship Id="rId17" Type="http://schemas.openxmlformats.org/officeDocument/2006/relationships/hyperlink" Target="https://communaute.chorus-pro.gouv.fr/documentation/marche-de-travaux-pour-les-moe-points-clefs/" TargetMode="External"/><Relationship Id="rId2" Type="http://schemas.openxmlformats.org/officeDocument/2006/relationships/hyperlink" Target="https://www.economie.gouv.fr/daj/cout-cycle-vie-consultation" TargetMode="External"/><Relationship Id="rId16" Type="http://schemas.openxmlformats.org/officeDocument/2006/relationships/hyperlink" Target="https://publications.banque-france.fr/liste-chronologique/rapport-de-lobservatoire-des-delais-de-paiement" TargetMode="External"/><Relationship Id="rId20" Type="http://schemas.openxmlformats.org/officeDocument/2006/relationships/hyperlink" Target="https://www.fntp.fr/infodoc/juridique-marches/gestion-contractuelle/marches-et-contrats-prives/actualisation-du-contrat" TargetMode="External"/><Relationship Id="rId1" Type="http://schemas.openxmlformats.org/officeDocument/2006/relationships/hyperlink" Target="https://www.legifrance.gouv.fr/affichTexte.do?cidTexte=JORFTEXT000037852355&amp;categorieLien=id" TargetMode="External"/><Relationship Id="rId6" Type="http://schemas.openxmlformats.org/officeDocument/2006/relationships/hyperlink" Target="https://www.fntp.fr/outils/contratheque/groupement-momentane-dentreprises-gme" TargetMode="External"/><Relationship Id="rId11" Type="http://schemas.openxmlformats.org/officeDocument/2006/relationships/hyperlink" Target="http://www.cci-paris-idf.fr/etudes/competitivite/propriete-intellectuelle/secret-des-affaires-etudes" TargetMode="External"/><Relationship Id="rId5" Type="http://schemas.openxmlformats.org/officeDocument/2006/relationships/hyperlink" Target="http://www.maximilien.fr/espace-entreprises/bourse-a-la-co-sous-traitance/" TargetMode="External"/><Relationship Id="rId15" Type="http://schemas.openxmlformats.org/officeDocument/2006/relationships/hyperlink" Target="https://www.service-public.fr/professionnels-entreprises/vosdroits/R209" TargetMode="External"/><Relationship Id="rId10" Type="http://schemas.openxmlformats.org/officeDocument/2006/relationships/hyperlink" Target="https://www.cada.fr/administration/marches-publics" TargetMode="External"/><Relationship Id="rId19" Type="http://schemas.openxmlformats.org/officeDocument/2006/relationships/hyperlink" Target="https://www.economie.gouv.fr/files/files/directions_services/daj/marches_publics/conseil_acheteurs/guides/guide-aspects-sociaux-cp.pdf" TargetMode="External"/><Relationship Id="rId4" Type="http://schemas.openxmlformats.org/officeDocument/2006/relationships/hyperlink" Target="https://www.economie.gouv.fr/dae/nouveau-service-sur-place-pour-pme-bourse-a-cotraitance-0" TargetMode="External"/><Relationship Id="rId9" Type="http://schemas.openxmlformats.org/officeDocument/2006/relationships/hyperlink" Target="http://medias.sncf.com/sncfcom/pdf/ethique/Charte_Ethique_SNCF.pdf" TargetMode="External"/><Relationship Id="rId14" Type="http://schemas.openxmlformats.org/officeDocument/2006/relationships/hyperlink" Target="https://www.legifrance.gouv.fr/affichTexte.do?cidTexte=JORFTEXT000031824672&amp;categorieLien=id"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B362BC-180C-4246-998E-A803C08DE89F}" type="doc">
      <dgm:prSet loTypeId="urn:microsoft.com/office/officeart/2005/8/layout/default" loCatId="list" qsTypeId="urn:microsoft.com/office/officeart/2005/8/quickstyle/simple1" qsCatId="simple" csTypeId="urn:microsoft.com/office/officeart/2005/8/colors/colorful1" csCatId="colorful" phldr="1"/>
      <dgm:spPr/>
      <dgm:t>
        <a:bodyPr/>
        <a:lstStyle/>
        <a:p>
          <a:endParaRPr lang="fr-FR"/>
        </a:p>
      </dgm:t>
    </dgm:pt>
    <dgm:pt modelId="{8B743F24-3BEF-4408-B37A-39F6450B474F}">
      <dgm:prSet phldrT="[Texte]"/>
      <dgm:spPr/>
      <dgm:t>
        <a:bodyPr/>
        <a:lstStyle/>
        <a:p>
          <a:pPr algn="ctr"/>
          <a:r>
            <a:rPr lang="fr-FR"/>
            <a:t>Déclaration du chiffre d'affaires global et du domaine d'activités concerné par le marché</a:t>
          </a:r>
        </a:p>
      </dgm:t>
    </dgm:pt>
    <dgm:pt modelId="{64A06B90-2A17-4915-BA8E-B737D359E7DF}" type="parTrans" cxnId="{7A360EBD-FAC5-4834-8E6D-F8578DB29B42}">
      <dgm:prSet/>
      <dgm:spPr/>
      <dgm:t>
        <a:bodyPr/>
        <a:lstStyle/>
        <a:p>
          <a:pPr algn="ctr"/>
          <a:endParaRPr lang="fr-FR"/>
        </a:p>
      </dgm:t>
    </dgm:pt>
    <dgm:pt modelId="{7655A312-16B5-4A24-B7AB-4DCFCE52D5AD}" type="sibTrans" cxnId="{7A360EBD-FAC5-4834-8E6D-F8578DB29B42}">
      <dgm:prSet/>
      <dgm:spPr/>
      <dgm:t>
        <a:bodyPr/>
        <a:lstStyle/>
        <a:p>
          <a:pPr algn="ctr"/>
          <a:endParaRPr lang="fr-FR"/>
        </a:p>
      </dgm:t>
    </dgm:pt>
    <dgm:pt modelId="{3AE401E7-FD1B-44FA-9093-1118314B55F5}">
      <dgm:prSet phldrT="[Texte]"/>
      <dgm:spPr/>
      <dgm:t>
        <a:bodyPr/>
        <a:lstStyle/>
        <a:p>
          <a:pPr algn="ctr"/>
          <a:r>
            <a:rPr lang="fr-FR"/>
            <a:t>Travaux exécutés au cours des 5 dernières années ou</a:t>
          </a:r>
        </a:p>
        <a:p>
          <a:pPr algn="ctr"/>
          <a:r>
            <a:rPr lang="fr-FR"/>
            <a:t>Livraisons/services effectués sur les 3 dernières années</a:t>
          </a:r>
        </a:p>
      </dgm:t>
    </dgm:pt>
    <dgm:pt modelId="{E715AAC9-0942-44A6-A1DF-7B25D59484F3}" type="parTrans" cxnId="{F8804D99-3C72-412A-8670-498BAA595DBE}">
      <dgm:prSet/>
      <dgm:spPr/>
      <dgm:t>
        <a:bodyPr/>
        <a:lstStyle/>
        <a:p>
          <a:pPr algn="ctr"/>
          <a:endParaRPr lang="fr-FR"/>
        </a:p>
      </dgm:t>
    </dgm:pt>
    <dgm:pt modelId="{3C844EEA-27B0-4A40-8411-94964E1CB789}" type="sibTrans" cxnId="{F8804D99-3C72-412A-8670-498BAA595DBE}">
      <dgm:prSet/>
      <dgm:spPr/>
      <dgm:t>
        <a:bodyPr/>
        <a:lstStyle/>
        <a:p>
          <a:pPr algn="ctr"/>
          <a:endParaRPr lang="fr-FR"/>
        </a:p>
      </dgm:t>
    </dgm:pt>
    <dgm:pt modelId="{E18D1838-69B8-4440-94DB-84C6C6054104}">
      <dgm:prSet phldrT="[Texte]"/>
      <dgm:spPr/>
      <dgm:t>
        <a:bodyPr/>
        <a:lstStyle/>
        <a:p>
          <a:pPr algn="ctr"/>
          <a:r>
            <a:rPr lang="fr-FR"/>
            <a:t>Assurances des risques professionnels</a:t>
          </a:r>
        </a:p>
      </dgm:t>
    </dgm:pt>
    <dgm:pt modelId="{E5274682-B041-4E3A-9323-5E38DC6E1356}" type="parTrans" cxnId="{B0DB8D57-2CFB-4F91-85C7-C9AA4765B18F}">
      <dgm:prSet/>
      <dgm:spPr/>
      <dgm:t>
        <a:bodyPr/>
        <a:lstStyle/>
        <a:p>
          <a:pPr algn="ctr"/>
          <a:endParaRPr lang="fr-FR"/>
        </a:p>
      </dgm:t>
    </dgm:pt>
    <dgm:pt modelId="{D563923B-1FA4-4C3B-81CB-56854E9B7328}" type="sibTrans" cxnId="{B0DB8D57-2CFB-4F91-85C7-C9AA4765B18F}">
      <dgm:prSet/>
      <dgm:spPr/>
      <dgm:t>
        <a:bodyPr/>
        <a:lstStyle/>
        <a:p>
          <a:pPr algn="ctr"/>
          <a:endParaRPr lang="fr-FR"/>
        </a:p>
      </dgm:t>
    </dgm:pt>
    <dgm:pt modelId="{A163E1EB-1A54-462B-AA44-C3643B4779BF}">
      <dgm:prSet phldrT="[Texte]"/>
      <dgm:spPr/>
      <dgm:t>
        <a:bodyPr/>
        <a:lstStyle/>
        <a:p>
          <a:pPr algn="ctr"/>
          <a:r>
            <a:rPr lang="fr-FR"/>
            <a:t>Effectifs moyens annuels sur les 3 dernières années</a:t>
          </a:r>
        </a:p>
      </dgm:t>
    </dgm:pt>
    <dgm:pt modelId="{9C39BCEC-A79D-4AA2-8A4D-E7D501A2252A}" type="parTrans" cxnId="{2F417948-89D4-4E85-A26F-180D0DB0B101}">
      <dgm:prSet/>
      <dgm:spPr/>
      <dgm:t>
        <a:bodyPr/>
        <a:lstStyle/>
        <a:p>
          <a:pPr algn="ctr"/>
          <a:endParaRPr lang="fr-FR"/>
        </a:p>
      </dgm:t>
    </dgm:pt>
    <dgm:pt modelId="{E741D5F5-9BE2-430C-990A-70F4479A7580}" type="sibTrans" cxnId="{2F417948-89D4-4E85-A26F-180D0DB0B101}">
      <dgm:prSet/>
      <dgm:spPr/>
      <dgm:t>
        <a:bodyPr/>
        <a:lstStyle/>
        <a:p>
          <a:pPr algn="ctr"/>
          <a:endParaRPr lang="fr-FR"/>
        </a:p>
      </dgm:t>
    </dgm:pt>
    <dgm:pt modelId="{751E756E-2211-43F0-9611-E9412F50AB11}">
      <dgm:prSet phldrT="[Texte]"/>
      <dgm:spPr/>
      <dgm:t>
        <a:bodyPr/>
        <a:lstStyle/>
        <a:p>
          <a:pPr algn="ctr"/>
          <a:r>
            <a:rPr lang="fr-FR"/>
            <a:t>Matériel technique ou équipements au moment de l'exécution du marché</a:t>
          </a:r>
        </a:p>
      </dgm:t>
    </dgm:pt>
    <dgm:pt modelId="{40FC2ADF-4E5A-4E65-8D1C-6904A3FC352C}" type="parTrans" cxnId="{DC9A7C64-D0B6-4342-A8AE-7DF89970FAC1}">
      <dgm:prSet/>
      <dgm:spPr/>
      <dgm:t>
        <a:bodyPr/>
        <a:lstStyle/>
        <a:p>
          <a:pPr algn="ctr"/>
          <a:endParaRPr lang="fr-FR"/>
        </a:p>
      </dgm:t>
    </dgm:pt>
    <dgm:pt modelId="{EA549155-5E26-4343-9CF1-ABBB7C2DE702}" type="sibTrans" cxnId="{DC9A7C64-D0B6-4342-A8AE-7DF89970FAC1}">
      <dgm:prSet/>
      <dgm:spPr/>
      <dgm:t>
        <a:bodyPr/>
        <a:lstStyle/>
        <a:p>
          <a:pPr algn="ctr"/>
          <a:endParaRPr lang="fr-FR"/>
        </a:p>
      </dgm:t>
    </dgm:pt>
    <dgm:pt modelId="{D46B7801-3373-48BA-BCC0-559612E6193B}">
      <dgm:prSet phldrT="[Texte]"/>
      <dgm:spPr/>
      <dgm:t>
        <a:bodyPr/>
        <a:lstStyle/>
        <a:p>
          <a:pPr algn="ctr"/>
          <a:r>
            <a:rPr lang="fr-FR"/>
            <a:t>Certificats de qualification professionnelle </a:t>
          </a:r>
          <a:r>
            <a:rPr lang="fr-FR" u="sng"/>
            <a:t>ou équivalent</a:t>
          </a:r>
        </a:p>
      </dgm:t>
    </dgm:pt>
    <dgm:pt modelId="{56BFB598-4C69-4230-A63B-D08644D42D9D}" type="parTrans" cxnId="{24077E2F-A52C-4559-98D3-48E244B8F50D}">
      <dgm:prSet/>
      <dgm:spPr/>
      <dgm:t>
        <a:bodyPr/>
        <a:lstStyle/>
        <a:p>
          <a:pPr algn="ctr"/>
          <a:endParaRPr lang="fr-FR"/>
        </a:p>
      </dgm:t>
    </dgm:pt>
    <dgm:pt modelId="{F810EB2C-DBC1-42CA-AD94-443E7B1444C2}" type="sibTrans" cxnId="{24077E2F-A52C-4559-98D3-48E244B8F50D}">
      <dgm:prSet/>
      <dgm:spPr/>
      <dgm:t>
        <a:bodyPr/>
        <a:lstStyle/>
        <a:p>
          <a:pPr algn="ctr"/>
          <a:endParaRPr lang="fr-FR"/>
        </a:p>
      </dgm:t>
    </dgm:pt>
    <dgm:pt modelId="{35CAFE3D-16C5-4242-8257-3CC9EA6C789C}">
      <dgm:prSet phldrT="[Texte]"/>
      <dgm:spPr/>
      <dgm:t>
        <a:bodyPr/>
        <a:lstStyle/>
        <a:p>
          <a:pPr algn="ctr"/>
          <a:r>
            <a:rPr lang="fr-FR" u="none" baseline="0"/>
            <a:t>Certificats de qualité attestant le respect de certaines normes</a:t>
          </a:r>
        </a:p>
      </dgm:t>
    </dgm:pt>
    <dgm:pt modelId="{75EE7F7F-A148-44B4-B6BC-1DFF7AAFE11F}" type="parTrans" cxnId="{5497DD40-A463-4787-8702-8B5923E4AEFB}">
      <dgm:prSet/>
      <dgm:spPr/>
      <dgm:t>
        <a:bodyPr/>
        <a:lstStyle/>
        <a:p>
          <a:pPr algn="ctr"/>
          <a:endParaRPr lang="fr-FR"/>
        </a:p>
      </dgm:t>
    </dgm:pt>
    <dgm:pt modelId="{AAF8A968-4BBE-4E99-BC85-FEFD3D7D4FC1}" type="sibTrans" cxnId="{5497DD40-A463-4787-8702-8B5923E4AEFB}">
      <dgm:prSet/>
      <dgm:spPr/>
      <dgm:t>
        <a:bodyPr/>
        <a:lstStyle/>
        <a:p>
          <a:pPr algn="ctr"/>
          <a:endParaRPr lang="fr-FR"/>
        </a:p>
      </dgm:t>
    </dgm:pt>
    <dgm:pt modelId="{DCBAAF34-C9A6-4410-A6DD-ABFA216AF6C9}" type="pres">
      <dgm:prSet presAssocID="{58B362BC-180C-4246-998E-A803C08DE89F}" presName="diagram" presStyleCnt="0">
        <dgm:presLayoutVars>
          <dgm:dir/>
          <dgm:resizeHandles val="exact"/>
        </dgm:presLayoutVars>
      </dgm:prSet>
      <dgm:spPr/>
      <dgm:t>
        <a:bodyPr/>
        <a:lstStyle/>
        <a:p>
          <a:endParaRPr lang="fr-FR"/>
        </a:p>
      </dgm:t>
    </dgm:pt>
    <dgm:pt modelId="{CB8C83CA-44D1-47C9-A997-41B09817D18B}" type="pres">
      <dgm:prSet presAssocID="{8B743F24-3BEF-4408-B37A-39F6450B474F}" presName="node" presStyleLbl="node1" presStyleIdx="0" presStyleCnt="7">
        <dgm:presLayoutVars>
          <dgm:bulletEnabled val="1"/>
        </dgm:presLayoutVars>
      </dgm:prSet>
      <dgm:spPr/>
      <dgm:t>
        <a:bodyPr/>
        <a:lstStyle/>
        <a:p>
          <a:endParaRPr lang="fr-FR"/>
        </a:p>
      </dgm:t>
    </dgm:pt>
    <dgm:pt modelId="{FE540322-2DA8-4F61-9FDF-FE3BBE9D0AEE}" type="pres">
      <dgm:prSet presAssocID="{7655A312-16B5-4A24-B7AB-4DCFCE52D5AD}" presName="sibTrans" presStyleCnt="0"/>
      <dgm:spPr/>
    </dgm:pt>
    <dgm:pt modelId="{68F6820A-C614-4E3F-84C3-F6F75A4CBCBC}" type="pres">
      <dgm:prSet presAssocID="{3AE401E7-FD1B-44FA-9093-1118314B55F5}" presName="node" presStyleLbl="node1" presStyleIdx="1" presStyleCnt="7">
        <dgm:presLayoutVars>
          <dgm:bulletEnabled val="1"/>
        </dgm:presLayoutVars>
      </dgm:prSet>
      <dgm:spPr/>
      <dgm:t>
        <a:bodyPr/>
        <a:lstStyle/>
        <a:p>
          <a:endParaRPr lang="fr-FR"/>
        </a:p>
      </dgm:t>
    </dgm:pt>
    <dgm:pt modelId="{3D20ED55-1B71-4366-B2E6-CD233DE9EBB7}" type="pres">
      <dgm:prSet presAssocID="{3C844EEA-27B0-4A40-8411-94964E1CB789}" presName="sibTrans" presStyleCnt="0"/>
      <dgm:spPr/>
    </dgm:pt>
    <dgm:pt modelId="{A4C0019A-FA96-470C-A7FA-C4FC77D8573F}" type="pres">
      <dgm:prSet presAssocID="{E18D1838-69B8-4440-94DB-84C6C6054104}" presName="node" presStyleLbl="node1" presStyleIdx="2" presStyleCnt="7">
        <dgm:presLayoutVars>
          <dgm:bulletEnabled val="1"/>
        </dgm:presLayoutVars>
      </dgm:prSet>
      <dgm:spPr/>
      <dgm:t>
        <a:bodyPr/>
        <a:lstStyle/>
        <a:p>
          <a:endParaRPr lang="fr-FR"/>
        </a:p>
      </dgm:t>
    </dgm:pt>
    <dgm:pt modelId="{B05ADD07-A6D2-4D18-A6BA-0D392556FBF9}" type="pres">
      <dgm:prSet presAssocID="{D563923B-1FA4-4C3B-81CB-56854E9B7328}" presName="sibTrans" presStyleCnt="0"/>
      <dgm:spPr/>
    </dgm:pt>
    <dgm:pt modelId="{3956F936-0C3F-41A0-A745-C3AC71149696}" type="pres">
      <dgm:prSet presAssocID="{A163E1EB-1A54-462B-AA44-C3643B4779BF}" presName="node" presStyleLbl="node1" presStyleIdx="3" presStyleCnt="7">
        <dgm:presLayoutVars>
          <dgm:bulletEnabled val="1"/>
        </dgm:presLayoutVars>
      </dgm:prSet>
      <dgm:spPr/>
      <dgm:t>
        <a:bodyPr/>
        <a:lstStyle/>
        <a:p>
          <a:endParaRPr lang="fr-FR"/>
        </a:p>
      </dgm:t>
    </dgm:pt>
    <dgm:pt modelId="{9D5D5235-538E-404B-9632-8DB0F4A9D48E}" type="pres">
      <dgm:prSet presAssocID="{E741D5F5-9BE2-430C-990A-70F4479A7580}" presName="sibTrans" presStyleCnt="0"/>
      <dgm:spPr/>
    </dgm:pt>
    <dgm:pt modelId="{B56B3D2C-307C-44F6-9315-BD81C52E5B47}" type="pres">
      <dgm:prSet presAssocID="{751E756E-2211-43F0-9611-E9412F50AB11}" presName="node" presStyleLbl="node1" presStyleIdx="4" presStyleCnt="7">
        <dgm:presLayoutVars>
          <dgm:bulletEnabled val="1"/>
        </dgm:presLayoutVars>
      </dgm:prSet>
      <dgm:spPr/>
      <dgm:t>
        <a:bodyPr/>
        <a:lstStyle/>
        <a:p>
          <a:endParaRPr lang="fr-FR"/>
        </a:p>
      </dgm:t>
    </dgm:pt>
    <dgm:pt modelId="{D8251E70-72B8-4F1D-8DF1-6C17696D3B32}" type="pres">
      <dgm:prSet presAssocID="{EA549155-5E26-4343-9CF1-ABBB7C2DE702}" presName="sibTrans" presStyleCnt="0"/>
      <dgm:spPr/>
    </dgm:pt>
    <dgm:pt modelId="{1EA12E71-72FD-4B5A-B7DA-FEA2D4DEDC47}" type="pres">
      <dgm:prSet presAssocID="{D46B7801-3373-48BA-BCC0-559612E6193B}" presName="node" presStyleLbl="node1" presStyleIdx="5" presStyleCnt="7">
        <dgm:presLayoutVars>
          <dgm:bulletEnabled val="1"/>
        </dgm:presLayoutVars>
      </dgm:prSet>
      <dgm:spPr/>
      <dgm:t>
        <a:bodyPr/>
        <a:lstStyle/>
        <a:p>
          <a:endParaRPr lang="fr-FR"/>
        </a:p>
      </dgm:t>
    </dgm:pt>
    <dgm:pt modelId="{F11D9455-1C2E-415B-93D9-14E5ECF6F47B}" type="pres">
      <dgm:prSet presAssocID="{F810EB2C-DBC1-42CA-AD94-443E7B1444C2}" presName="sibTrans" presStyleCnt="0"/>
      <dgm:spPr/>
    </dgm:pt>
    <dgm:pt modelId="{D01FB8EA-C855-4366-95DC-BC3F052ADA77}" type="pres">
      <dgm:prSet presAssocID="{35CAFE3D-16C5-4242-8257-3CC9EA6C789C}" presName="node" presStyleLbl="node1" presStyleIdx="6" presStyleCnt="7">
        <dgm:presLayoutVars>
          <dgm:bulletEnabled val="1"/>
        </dgm:presLayoutVars>
      </dgm:prSet>
      <dgm:spPr/>
      <dgm:t>
        <a:bodyPr/>
        <a:lstStyle/>
        <a:p>
          <a:endParaRPr lang="fr-FR"/>
        </a:p>
      </dgm:t>
    </dgm:pt>
  </dgm:ptLst>
  <dgm:cxnLst>
    <dgm:cxn modelId="{F91069F7-7C46-4098-B747-5138218A9BB2}" type="presOf" srcId="{58B362BC-180C-4246-998E-A803C08DE89F}" destId="{DCBAAF34-C9A6-4410-A6DD-ABFA216AF6C9}" srcOrd="0" destOrd="0" presId="urn:microsoft.com/office/officeart/2005/8/layout/default"/>
    <dgm:cxn modelId="{43585C1A-3F12-4A0A-8E26-70AE5467FF99}" type="presOf" srcId="{8B743F24-3BEF-4408-B37A-39F6450B474F}" destId="{CB8C83CA-44D1-47C9-A997-41B09817D18B}" srcOrd="0" destOrd="0" presId="urn:microsoft.com/office/officeart/2005/8/layout/default"/>
    <dgm:cxn modelId="{7A360EBD-FAC5-4834-8E6D-F8578DB29B42}" srcId="{58B362BC-180C-4246-998E-A803C08DE89F}" destId="{8B743F24-3BEF-4408-B37A-39F6450B474F}" srcOrd="0" destOrd="0" parTransId="{64A06B90-2A17-4915-BA8E-B737D359E7DF}" sibTransId="{7655A312-16B5-4A24-B7AB-4DCFCE52D5AD}"/>
    <dgm:cxn modelId="{B0DB8D57-2CFB-4F91-85C7-C9AA4765B18F}" srcId="{58B362BC-180C-4246-998E-A803C08DE89F}" destId="{E18D1838-69B8-4440-94DB-84C6C6054104}" srcOrd="2" destOrd="0" parTransId="{E5274682-B041-4E3A-9323-5E38DC6E1356}" sibTransId="{D563923B-1FA4-4C3B-81CB-56854E9B7328}"/>
    <dgm:cxn modelId="{A7738BAA-1E11-493A-80D3-7B1A9164A5E0}" type="presOf" srcId="{3AE401E7-FD1B-44FA-9093-1118314B55F5}" destId="{68F6820A-C614-4E3F-84C3-F6F75A4CBCBC}" srcOrd="0" destOrd="0" presId="urn:microsoft.com/office/officeart/2005/8/layout/default"/>
    <dgm:cxn modelId="{1C734F0D-7C26-4089-A18B-2E606F0F988B}" type="presOf" srcId="{35CAFE3D-16C5-4242-8257-3CC9EA6C789C}" destId="{D01FB8EA-C855-4366-95DC-BC3F052ADA77}" srcOrd="0" destOrd="0" presId="urn:microsoft.com/office/officeart/2005/8/layout/default"/>
    <dgm:cxn modelId="{24077E2F-A52C-4559-98D3-48E244B8F50D}" srcId="{58B362BC-180C-4246-998E-A803C08DE89F}" destId="{D46B7801-3373-48BA-BCC0-559612E6193B}" srcOrd="5" destOrd="0" parTransId="{56BFB598-4C69-4230-A63B-D08644D42D9D}" sibTransId="{F810EB2C-DBC1-42CA-AD94-443E7B1444C2}"/>
    <dgm:cxn modelId="{274782A7-0D6E-4FAF-AB5A-1CA315E8527F}" type="presOf" srcId="{D46B7801-3373-48BA-BCC0-559612E6193B}" destId="{1EA12E71-72FD-4B5A-B7DA-FEA2D4DEDC47}" srcOrd="0" destOrd="0" presId="urn:microsoft.com/office/officeart/2005/8/layout/default"/>
    <dgm:cxn modelId="{2F417948-89D4-4E85-A26F-180D0DB0B101}" srcId="{58B362BC-180C-4246-998E-A803C08DE89F}" destId="{A163E1EB-1A54-462B-AA44-C3643B4779BF}" srcOrd="3" destOrd="0" parTransId="{9C39BCEC-A79D-4AA2-8A4D-E7D501A2252A}" sibTransId="{E741D5F5-9BE2-430C-990A-70F4479A7580}"/>
    <dgm:cxn modelId="{BD63E4D7-A4B2-4531-82BF-36DED5B07D06}" type="presOf" srcId="{E18D1838-69B8-4440-94DB-84C6C6054104}" destId="{A4C0019A-FA96-470C-A7FA-C4FC77D8573F}" srcOrd="0" destOrd="0" presId="urn:microsoft.com/office/officeart/2005/8/layout/default"/>
    <dgm:cxn modelId="{5497DD40-A463-4787-8702-8B5923E4AEFB}" srcId="{58B362BC-180C-4246-998E-A803C08DE89F}" destId="{35CAFE3D-16C5-4242-8257-3CC9EA6C789C}" srcOrd="6" destOrd="0" parTransId="{75EE7F7F-A148-44B4-B6BC-1DFF7AAFE11F}" sibTransId="{AAF8A968-4BBE-4E99-BC85-FEFD3D7D4FC1}"/>
    <dgm:cxn modelId="{96F5315A-8417-40C0-AB79-970CDFC21C95}" type="presOf" srcId="{A163E1EB-1A54-462B-AA44-C3643B4779BF}" destId="{3956F936-0C3F-41A0-A745-C3AC71149696}" srcOrd="0" destOrd="0" presId="urn:microsoft.com/office/officeart/2005/8/layout/default"/>
    <dgm:cxn modelId="{F8804D99-3C72-412A-8670-498BAA595DBE}" srcId="{58B362BC-180C-4246-998E-A803C08DE89F}" destId="{3AE401E7-FD1B-44FA-9093-1118314B55F5}" srcOrd="1" destOrd="0" parTransId="{E715AAC9-0942-44A6-A1DF-7B25D59484F3}" sibTransId="{3C844EEA-27B0-4A40-8411-94964E1CB789}"/>
    <dgm:cxn modelId="{DC9A7C64-D0B6-4342-A8AE-7DF89970FAC1}" srcId="{58B362BC-180C-4246-998E-A803C08DE89F}" destId="{751E756E-2211-43F0-9611-E9412F50AB11}" srcOrd="4" destOrd="0" parTransId="{40FC2ADF-4E5A-4E65-8D1C-6904A3FC352C}" sibTransId="{EA549155-5E26-4343-9CF1-ABBB7C2DE702}"/>
    <dgm:cxn modelId="{55F88221-7E6C-46E0-936D-525CF51911D3}" type="presOf" srcId="{751E756E-2211-43F0-9611-E9412F50AB11}" destId="{B56B3D2C-307C-44F6-9315-BD81C52E5B47}" srcOrd="0" destOrd="0" presId="urn:microsoft.com/office/officeart/2005/8/layout/default"/>
    <dgm:cxn modelId="{A1837E55-7D03-4311-8C34-F808605FD178}" type="presParOf" srcId="{DCBAAF34-C9A6-4410-A6DD-ABFA216AF6C9}" destId="{CB8C83CA-44D1-47C9-A997-41B09817D18B}" srcOrd="0" destOrd="0" presId="urn:microsoft.com/office/officeart/2005/8/layout/default"/>
    <dgm:cxn modelId="{C7BE2DA6-D016-4380-9AD5-DFF160CBC8CA}" type="presParOf" srcId="{DCBAAF34-C9A6-4410-A6DD-ABFA216AF6C9}" destId="{FE540322-2DA8-4F61-9FDF-FE3BBE9D0AEE}" srcOrd="1" destOrd="0" presId="urn:microsoft.com/office/officeart/2005/8/layout/default"/>
    <dgm:cxn modelId="{BDB586F7-4CCA-4B9B-9EC0-88EC92F284E6}" type="presParOf" srcId="{DCBAAF34-C9A6-4410-A6DD-ABFA216AF6C9}" destId="{68F6820A-C614-4E3F-84C3-F6F75A4CBCBC}" srcOrd="2" destOrd="0" presId="urn:microsoft.com/office/officeart/2005/8/layout/default"/>
    <dgm:cxn modelId="{9C7068AE-08AE-4C84-8FEA-22C533437224}" type="presParOf" srcId="{DCBAAF34-C9A6-4410-A6DD-ABFA216AF6C9}" destId="{3D20ED55-1B71-4366-B2E6-CD233DE9EBB7}" srcOrd="3" destOrd="0" presId="urn:microsoft.com/office/officeart/2005/8/layout/default"/>
    <dgm:cxn modelId="{3AF26360-47B0-4260-BA5F-EED9BBEA0112}" type="presParOf" srcId="{DCBAAF34-C9A6-4410-A6DD-ABFA216AF6C9}" destId="{A4C0019A-FA96-470C-A7FA-C4FC77D8573F}" srcOrd="4" destOrd="0" presId="urn:microsoft.com/office/officeart/2005/8/layout/default"/>
    <dgm:cxn modelId="{08223F96-EAA1-4CFC-8078-56A197B56348}" type="presParOf" srcId="{DCBAAF34-C9A6-4410-A6DD-ABFA216AF6C9}" destId="{B05ADD07-A6D2-4D18-A6BA-0D392556FBF9}" srcOrd="5" destOrd="0" presId="urn:microsoft.com/office/officeart/2005/8/layout/default"/>
    <dgm:cxn modelId="{C7FA5B01-61C3-4097-AAEE-7F363B640FC6}" type="presParOf" srcId="{DCBAAF34-C9A6-4410-A6DD-ABFA216AF6C9}" destId="{3956F936-0C3F-41A0-A745-C3AC71149696}" srcOrd="6" destOrd="0" presId="urn:microsoft.com/office/officeart/2005/8/layout/default"/>
    <dgm:cxn modelId="{FB521E69-BCEC-4EE5-8898-5BA5F38E857F}" type="presParOf" srcId="{DCBAAF34-C9A6-4410-A6DD-ABFA216AF6C9}" destId="{9D5D5235-538E-404B-9632-8DB0F4A9D48E}" srcOrd="7" destOrd="0" presId="urn:microsoft.com/office/officeart/2005/8/layout/default"/>
    <dgm:cxn modelId="{132E0EEB-53DE-43B6-8208-76110E7BD01F}" type="presParOf" srcId="{DCBAAF34-C9A6-4410-A6DD-ABFA216AF6C9}" destId="{B56B3D2C-307C-44F6-9315-BD81C52E5B47}" srcOrd="8" destOrd="0" presId="urn:microsoft.com/office/officeart/2005/8/layout/default"/>
    <dgm:cxn modelId="{72E856E9-4A0B-488A-8935-02C4E5FB400D}" type="presParOf" srcId="{DCBAAF34-C9A6-4410-A6DD-ABFA216AF6C9}" destId="{D8251E70-72B8-4F1D-8DF1-6C17696D3B32}" srcOrd="9" destOrd="0" presId="urn:microsoft.com/office/officeart/2005/8/layout/default"/>
    <dgm:cxn modelId="{EB1B7BCF-AFBD-4717-96EC-C5F0B1A7CBF9}" type="presParOf" srcId="{DCBAAF34-C9A6-4410-A6DD-ABFA216AF6C9}" destId="{1EA12E71-72FD-4B5A-B7DA-FEA2D4DEDC47}" srcOrd="10" destOrd="0" presId="urn:microsoft.com/office/officeart/2005/8/layout/default"/>
    <dgm:cxn modelId="{161A668C-F7FF-476D-BB23-FEF7A56489DE}" type="presParOf" srcId="{DCBAAF34-C9A6-4410-A6DD-ABFA216AF6C9}" destId="{F11D9455-1C2E-415B-93D9-14E5ECF6F47B}" srcOrd="11" destOrd="0" presId="urn:microsoft.com/office/officeart/2005/8/layout/default"/>
    <dgm:cxn modelId="{633A92ED-03CF-4000-8104-68DDEFC3485B}" type="presParOf" srcId="{DCBAAF34-C9A6-4410-A6DD-ABFA216AF6C9}" destId="{D01FB8EA-C855-4366-95DC-BC3F052ADA77}" srcOrd="12" destOrd="0" presId="urn:microsoft.com/office/officeart/2005/8/layout/default"/>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077B74B-5178-4F96-A59A-8AA3D525F5AE}" type="doc">
      <dgm:prSet loTypeId="urn:microsoft.com/office/officeart/2005/8/layout/hierarchy4" loCatId="hierarchy" qsTypeId="urn:microsoft.com/office/officeart/2005/8/quickstyle/simple1" qsCatId="simple" csTypeId="urn:microsoft.com/office/officeart/2005/8/colors/colorful4" csCatId="colorful" phldr="1"/>
      <dgm:spPr/>
      <dgm:t>
        <a:bodyPr/>
        <a:lstStyle/>
        <a:p>
          <a:endParaRPr lang="fr-FR"/>
        </a:p>
      </dgm:t>
    </dgm:pt>
    <dgm:pt modelId="{C282ECCA-9471-496E-BD73-29CCF3749DC1}">
      <dgm:prSet phldrT="[Texte]" custT="1"/>
      <dgm:spPr/>
      <dgm:t>
        <a:bodyPr/>
        <a:lstStyle/>
        <a:p>
          <a:pPr algn="ctr"/>
          <a:r>
            <a:rPr lang="fr-FR" sz="1100" b="1"/>
            <a:t>Offre économiquement la plus avantageuse</a:t>
          </a:r>
        </a:p>
      </dgm:t>
    </dgm:pt>
    <dgm:pt modelId="{493EB70D-FBAA-4511-8952-2DF3ACC3C592}" type="parTrans" cxnId="{2B185A08-39A2-4ABA-BC08-C1CDB20B67C3}">
      <dgm:prSet/>
      <dgm:spPr/>
      <dgm:t>
        <a:bodyPr/>
        <a:lstStyle/>
        <a:p>
          <a:pPr algn="ctr"/>
          <a:endParaRPr lang="fr-FR"/>
        </a:p>
      </dgm:t>
    </dgm:pt>
    <dgm:pt modelId="{A405C3F4-B071-4D51-AEC4-CB2088EF4CC6}" type="sibTrans" cxnId="{2B185A08-39A2-4ABA-BC08-C1CDB20B67C3}">
      <dgm:prSet/>
      <dgm:spPr/>
      <dgm:t>
        <a:bodyPr/>
        <a:lstStyle/>
        <a:p>
          <a:pPr algn="ctr"/>
          <a:endParaRPr lang="fr-FR"/>
        </a:p>
      </dgm:t>
    </dgm:pt>
    <dgm:pt modelId="{02B7FEB7-ADD7-4BF7-8E99-DFA254892F3C}">
      <dgm:prSet phldrT="[Texte]" custT="1"/>
      <dgm:spPr/>
      <dgm:t>
        <a:bodyPr/>
        <a:lstStyle/>
        <a:p>
          <a:pPr algn="ctr"/>
          <a:r>
            <a:rPr lang="fr-FR" sz="900" b="1" u="sng" dirty="0"/>
            <a:t>Critère unique </a:t>
          </a:r>
          <a:r>
            <a:rPr lang="fr-FR" sz="900" b="1" dirty="0"/>
            <a:t>: </a:t>
          </a:r>
        </a:p>
        <a:p>
          <a:pPr algn="ctr"/>
          <a:r>
            <a:rPr lang="fr-FR" sz="900" dirty="0"/>
            <a:t>- le </a:t>
          </a:r>
          <a:r>
            <a:rPr lang="fr-FR" sz="900" b="1" dirty="0"/>
            <a:t>prix</a:t>
          </a:r>
          <a:r>
            <a:rPr lang="fr-FR" sz="900" dirty="0"/>
            <a:t>, pour l’achat de services ou fournitures standardisés ; </a:t>
          </a:r>
        </a:p>
        <a:p>
          <a:pPr algn="ctr"/>
          <a:r>
            <a:rPr lang="fr-FR" sz="900" dirty="0"/>
            <a:t>- le </a:t>
          </a:r>
          <a:r>
            <a:rPr lang="fr-FR" sz="900" b="1" dirty="0"/>
            <a:t>coût</a:t>
          </a:r>
          <a:r>
            <a:rPr lang="fr-FR" sz="900" dirty="0"/>
            <a:t>, déterminé selon une approche globale qui peut être fondée sur le coût du cycle de vie.</a:t>
          </a:r>
          <a:endParaRPr lang="fr-FR" sz="900"/>
        </a:p>
      </dgm:t>
    </dgm:pt>
    <dgm:pt modelId="{7BB962FB-8CFE-426E-9566-4F81D96C97CA}" type="parTrans" cxnId="{07778B31-5242-4494-8ABE-DB2C5E21BBDA}">
      <dgm:prSet/>
      <dgm:spPr/>
      <dgm:t>
        <a:bodyPr/>
        <a:lstStyle/>
        <a:p>
          <a:pPr algn="ctr"/>
          <a:endParaRPr lang="fr-FR"/>
        </a:p>
      </dgm:t>
    </dgm:pt>
    <dgm:pt modelId="{82191064-87F3-4402-9549-50D886363DC1}" type="sibTrans" cxnId="{07778B31-5242-4494-8ABE-DB2C5E21BBDA}">
      <dgm:prSet/>
      <dgm:spPr/>
      <dgm:t>
        <a:bodyPr/>
        <a:lstStyle/>
        <a:p>
          <a:pPr algn="ctr"/>
          <a:endParaRPr lang="fr-FR"/>
        </a:p>
      </dgm:t>
    </dgm:pt>
    <dgm:pt modelId="{3E776061-65CD-49CE-8193-0546CDF99E61}">
      <dgm:prSet phldrT="[Texte]" custT="1"/>
      <dgm:spPr/>
      <dgm:t>
        <a:bodyPr/>
        <a:lstStyle/>
        <a:p>
          <a:pPr algn="ctr"/>
          <a:r>
            <a:rPr lang="fr-FR" sz="900" b="1" dirty="0"/>
            <a:t>Critères </a:t>
          </a:r>
          <a:r>
            <a:rPr lang="fr-FR" sz="900" dirty="0"/>
            <a:t>non discriminatoires et </a:t>
          </a:r>
        </a:p>
        <a:p>
          <a:pPr algn="ctr"/>
          <a:r>
            <a:rPr lang="fr-FR" sz="900" b="1" dirty="0"/>
            <a:t>liés à l’objet du marché</a:t>
          </a:r>
          <a:endParaRPr lang="fr-FR" sz="900" b="1"/>
        </a:p>
      </dgm:t>
    </dgm:pt>
    <dgm:pt modelId="{7E48622C-FCE4-422B-AF41-D03784CD650C}" type="parTrans" cxnId="{7B7554A2-CC99-4641-8CC0-070DE028B151}">
      <dgm:prSet/>
      <dgm:spPr/>
      <dgm:t>
        <a:bodyPr/>
        <a:lstStyle/>
        <a:p>
          <a:pPr algn="ctr"/>
          <a:endParaRPr lang="fr-FR"/>
        </a:p>
      </dgm:t>
    </dgm:pt>
    <dgm:pt modelId="{578FD40F-E390-45AD-A263-FACC587BCB14}" type="sibTrans" cxnId="{7B7554A2-CC99-4641-8CC0-070DE028B151}">
      <dgm:prSet/>
      <dgm:spPr/>
      <dgm:t>
        <a:bodyPr/>
        <a:lstStyle/>
        <a:p>
          <a:pPr algn="ctr"/>
          <a:endParaRPr lang="fr-FR"/>
        </a:p>
      </dgm:t>
    </dgm:pt>
    <dgm:pt modelId="{170FD6B7-69B0-4989-AD59-70C1E5518D73}">
      <dgm:prSet phldrT="[Texte]" custT="1"/>
      <dgm:spPr/>
      <dgm:t>
        <a:bodyPr/>
        <a:lstStyle/>
        <a:p>
          <a:pPr algn="ctr">
            <a:spcAft>
              <a:spcPts val="300"/>
            </a:spcAft>
          </a:pPr>
          <a:r>
            <a:rPr lang="fr-FR" sz="900" b="1" u="sng" dirty="0"/>
            <a:t>Pluralité de critères </a:t>
          </a:r>
          <a:r>
            <a:rPr lang="fr-FR" sz="900" b="1" dirty="0"/>
            <a:t>: </a:t>
          </a:r>
        </a:p>
        <a:p>
          <a:pPr algn="ctr">
            <a:spcAft>
              <a:spcPts val="300"/>
            </a:spcAft>
          </a:pPr>
          <a:r>
            <a:rPr lang="fr-FR" sz="900" dirty="0"/>
            <a:t>- le </a:t>
          </a:r>
          <a:r>
            <a:rPr lang="fr-FR" sz="900" b="1" dirty="0"/>
            <a:t>prix</a:t>
          </a:r>
          <a:r>
            <a:rPr lang="fr-FR" sz="900" dirty="0"/>
            <a:t> ou le coût ; </a:t>
          </a:r>
        </a:p>
        <a:p>
          <a:pPr algn="ctr">
            <a:spcAft>
              <a:spcPts val="300"/>
            </a:spcAft>
          </a:pPr>
          <a:r>
            <a:rPr lang="fr-FR" sz="900" dirty="0"/>
            <a:t>- la </a:t>
          </a:r>
          <a:r>
            <a:rPr lang="fr-FR" sz="900" b="1" dirty="0"/>
            <a:t>qualité</a:t>
          </a:r>
          <a:r>
            <a:rPr lang="fr-FR" sz="900" dirty="0"/>
            <a:t> (valeur technique, performances environnementales, caractère innovant…) ; </a:t>
          </a:r>
        </a:p>
        <a:p>
          <a:pPr algn="ctr">
            <a:spcAft>
              <a:spcPts val="300"/>
            </a:spcAft>
          </a:pPr>
          <a:r>
            <a:rPr lang="fr-FR" sz="900" dirty="0"/>
            <a:t>- les </a:t>
          </a:r>
          <a:r>
            <a:rPr lang="fr-FR" sz="900" b="1" dirty="0"/>
            <a:t>délais</a:t>
          </a:r>
          <a:r>
            <a:rPr lang="fr-FR" sz="900" dirty="0"/>
            <a:t> d’exécution ;</a:t>
          </a:r>
        </a:p>
        <a:p>
          <a:pPr algn="ctr">
            <a:spcAft>
              <a:spcPts val="100"/>
            </a:spcAft>
          </a:pPr>
          <a:r>
            <a:rPr lang="fr-FR" sz="900" dirty="0"/>
            <a:t>- le personnel (organisation et qualification) ;</a:t>
          </a:r>
        </a:p>
        <a:p>
          <a:pPr algn="ctr">
            <a:spcAft>
              <a:spcPts val="300"/>
            </a:spcAft>
          </a:pPr>
          <a:r>
            <a:rPr lang="fr-FR" sz="900" dirty="0"/>
            <a:t>- etc. </a:t>
          </a:r>
          <a:endParaRPr lang="fr-FR" sz="900"/>
        </a:p>
      </dgm:t>
    </dgm:pt>
    <dgm:pt modelId="{6A00738E-7892-4503-8CD0-A5192F830F12}" type="parTrans" cxnId="{B8271F6B-78A2-4ABF-B388-C47EAE5C0A46}">
      <dgm:prSet/>
      <dgm:spPr/>
      <dgm:t>
        <a:bodyPr/>
        <a:lstStyle/>
        <a:p>
          <a:pPr algn="ctr"/>
          <a:endParaRPr lang="fr-FR"/>
        </a:p>
      </dgm:t>
    </dgm:pt>
    <dgm:pt modelId="{E7E8C954-80D7-401A-B739-E8C148B0A93C}" type="sibTrans" cxnId="{B8271F6B-78A2-4ABF-B388-C47EAE5C0A46}">
      <dgm:prSet/>
      <dgm:spPr/>
      <dgm:t>
        <a:bodyPr/>
        <a:lstStyle/>
        <a:p>
          <a:pPr algn="ctr"/>
          <a:endParaRPr lang="fr-FR"/>
        </a:p>
      </dgm:t>
    </dgm:pt>
    <dgm:pt modelId="{D96FFFB8-6E8C-471A-B77A-7DF3FA78D809}">
      <dgm:prSet phldrT="[Texte]" custT="1"/>
      <dgm:spPr/>
      <dgm:t>
        <a:bodyPr/>
        <a:lstStyle/>
        <a:p>
          <a:pPr algn="ctr">
            <a:spcAft>
              <a:spcPts val="0"/>
            </a:spcAft>
          </a:pPr>
          <a:r>
            <a:rPr lang="fr-FR" sz="900" dirty="0"/>
            <a:t>Critères applicables aux </a:t>
          </a:r>
          <a:r>
            <a:rPr lang="fr-FR" sz="900" b="1" dirty="0"/>
            <a:t>offres de base </a:t>
          </a:r>
        </a:p>
        <a:p>
          <a:pPr algn="ctr">
            <a:spcAft>
              <a:spcPct val="35000"/>
            </a:spcAft>
          </a:pPr>
          <a:r>
            <a:rPr lang="fr-FR" sz="900" dirty="0"/>
            <a:t>et aux </a:t>
          </a:r>
          <a:r>
            <a:rPr lang="fr-FR" sz="900" b="1" dirty="0"/>
            <a:t>variantes</a:t>
          </a:r>
          <a:endParaRPr lang="fr-FR" sz="900" b="1"/>
        </a:p>
      </dgm:t>
    </dgm:pt>
    <dgm:pt modelId="{2232FA1E-3E81-48DE-97AE-73CBF83D8B98}" type="parTrans" cxnId="{8D81D88F-A94B-4F00-A6D8-CD7ADC1947F1}">
      <dgm:prSet/>
      <dgm:spPr/>
      <dgm:t>
        <a:bodyPr/>
        <a:lstStyle/>
        <a:p>
          <a:pPr algn="ctr"/>
          <a:endParaRPr lang="fr-FR"/>
        </a:p>
      </dgm:t>
    </dgm:pt>
    <dgm:pt modelId="{8E209E77-530C-4350-BD78-2E72F3ED9980}" type="sibTrans" cxnId="{8D81D88F-A94B-4F00-A6D8-CD7ADC1947F1}">
      <dgm:prSet/>
      <dgm:spPr/>
      <dgm:t>
        <a:bodyPr/>
        <a:lstStyle/>
        <a:p>
          <a:pPr algn="ctr"/>
          <a:endParaRPr lang="fr-FR"/>
        </a:p>
      </dgm:t>
    </dgm:pt>
    <dgm:pt modelId="{AB5E57B7-F16D-4FA1-B170-226186604141}">
      <dgm:prSet custT="1"/>
      <dgm:spPr/>
      <dgm:t>
        <a:bodyPr/>
        <a:lstStyle/>
        <a:p>
          <a:pPr algn="ctr"/>
          <a:r>
            <a:rPr lang="fr-FR" sz="900" b="1"/>
            <a:t>Critères </a:t>
          </a:r>
          <a:r>
            <a:rPr lang="fr-FR" sz="900"/>
            <a:t>(et pondération) </a:t>
          </a:r>
          <a:r>
            <a:rPr lang="fr-FR" sz="900" b="1"/>
            <a:t>annoncés </a:t>
          </a:r>
          <a:r>
            <a:rPr lang="fr-FR" sz="900"/>
            <a:t>dans les documents de la consultation</a:t>
          </a:r>
        </a:p>
      </dgm:t>
    </dgm:pt>
    <dgm:pt modelId="{6C4513F2-FF43-4809-85FC-369B478E019E}" type="parTrans" cxnId="{93E0BFF7-7743-40EC-9205-CEC303E5CD26}">
      <dgm:prSet/>
      <dgm:spPr/>
      <dgm:t>
        <a:bodyPr/>
        <a:lstStyle/>
        <a:p>
          <a:pPr algn="ctr"/>
          <a:endParaRPr lang="fr-FR"/>
        </a:p>
      </dgm:t>
    </dgm:pt>
    <dgm:pt modelId="{86206AB1-6DBD-4ABC-8832-0FA255391DBA}" type="sibTrans" cxnId="{93E0BFF7-7743-40EC-9205-CEC303E5CD26}">
      <dgm:prSet/>
      <dgm:spPr/>
      <dgm:t>
        <a:bodyPr/>
        <a:lstStyle/>
        <a:p>
          <a:pPr algn="ctr"/>
          <a:endParaRPr lang="fr-FR"/>
        </a:p>
      </dgm:t>
    </dgm:pt>
    <dgm:pt modelId="{BFC71A68-D49A-4718-A4D0-9EBFD3A52880}" type="pres">
      <dgm:prSet presAssocID="{A077B74B-5178-4F96-A59A-8AA3D525F5AE}" presName="Name0" presStyleCnt="0">
        <dgm:presLayoutVars>
          <dgm:chPref val="1"/>
          <dgm:dir/>
          <dgm:animOne val="branch"/>
          <dgm:animLvl val="lvl"/>
          <dgm:resizeHandles/>
        </dgm:presLayoutVars>
      </dgm:prSet>
      <dgm:spPr/>
      <dgm:t>
        <a:bodyPr/>
        <a:lstStyle/>
        <a:p>
          <a:endParaRPr lang="fr-FR"/>
        </a:p>
      </dgm:t>
    </dgm:pt>
    <dgm:pt modelId="{07206771-8BE0-4624-A5C1-A8EC5D685D27}" type="pres">
      <dgm:prSet presAssocID="{C282ECCA-9471-496E-BD73-29CCF3749DC1}" presName="vertOne" presStyleCnt="0"/>
      <dgm:spPr/>
      <dgm:t>
        <a:bodyPr/>
        <a:lstStyle/>
        <a:p>
          <a:endParaRPr lang="fr-FR"/>
        </a:p>
      </dgm:t>
    </dgm:pt>
    <dgm:pt modelId="{51EC3B0F-58B1-447A-8DEC-4DB47EC3DAF5}" type="pres">
      <dgm:prSet presAssocID="{C282ECCA-9471-496E-BD73-29CCF3749DC1}" presName="txOne" presStyleLbl="node0" presStyleIdx="0" presStyleCnt="1" custScaleY="25009">
        <dgm:presLayoutVars>
          <dgm:chPref val="3"/>
        </dgm:presLayoutVars>
      </dgm:prSet>
      <dgm:spPr/>
      <dgm:t>
        <a:bodyPr/>
        <a:lstStyle/>
        <a:p>
          <a:endParaRPr lang="fr-FR"/>
        </a:p>
      </dgm:t>
    </dgm:pt>
    <dgm:pt modelId="{E91A45BB-382C-4CE6-B36E-CAFEA57B375C}" type="pres">
      <dgm:prSet presAssocID="{C282ECCA-9471-496E-BD73-29CCF3749DC1}" presName="parTransOne" presStyleCnt="0"/>
      <dgm:spPr/>
      <dgm:t>
        <a:bodyPr/>
        <a:lstStyle/>
        <a:p>
          <a:endParaRPr lang="fr-FR"/>
        </a:p>
      </dgm:t>
    </dgm:pt>
    <dgm:pt modelId="{04782435-F125-4008-B747-C618810E7ADE}" type="pres">
      <dgm:prSet presAssocID="{C282ECCA-9471-496E-BD73-29CCF3749DC1}" presName="horzOne" presStyleCnt="0"/>
      <dgm:spPr/>
      <dgm:t>
        <a:bodyPr/>
        <a:lstStyle/>
        <a:p>
          <a:endParaRPr lang="fr-FR"/>
        </a:p>
      </dgm:t>
    </dgm:pt>
    <dgm:pt modelId="{7652BA93-0821-4390-8FA2-0355804419CA}" type="pres">
      <dgm:prSet presAssocID="{02B7FEB7-ADD7-4BF7-8E99-DFA254892F3C}" presName="vertTwo" presStyleCnt="0"/>
      <dgm:spPr/>
      <dgm:t>
        <a:bodyPr/>
        <a:lstStyle/>
        <a:p>
          <a:endParaRPr lang="fr-FR"/>
        </a:p>
      </dgm:t>
    </dgm:pt>
    <dgm:pt modelId="{EEB4B856-3BB5-420C-BC4E-13B0C7FD207A}" type="pres">
      <dgm:prSet presAssocID="{02B7FEB7-ADD7-4BF7-8E99-DFA254892F3C}" presName="txTwo" presStyleLbl="node2" presStyleIdx="0" presStyleCnt="2" custScaleX="87528" custScaleY="110705">
        <dgm:presLayoutVars>
          <dgm:chPref val="3"/>
        </dgm:presLayoutVars>
      </dgm:prSet>
      <dgm:spPr/>
      <dgm:t>
        <a:bodyPr/>
        <a:lstStyle/>
        <a:p>
          <a:endParaRPr lang="fr-FR"/>
        </a:p>
      </dgm:t>
    </dgm:pt>
    <dgm:pt modelId="{B233DF5C-1914-4AA9-B832-9DD8C70528ED}" type="pres">
      <dgm:prSet presAssocID="{02B7FEB7-ADD7-4BF7-8E99-DFA254892F3C}" presName="parTransTwo" presStyleCnt="0"/>
      <dgm:spPr/>
      <dgm:t>
        <a:bodyPr/>
        <a:lstStyle/>
        <a:p>
          <a:endParaRPr lang="fr-FR"/>
        </a:p>
      </dgm:t>
    </dgm:pt>
    <dgm:pt modelId="{94D279CB-9B81-4807-9271-3A69159118BE}" type="pres">
      <dgm:prSet presAssocID="{02B7FEB7-ADD7-4BF7-8E99-DFA254892F3C}" presName="horzTwo" presStyleCnt="0"/>
      <dgm:spPr/>
      <dgm:t>
        <a:bodyPr/>
        <a:lstStyle/>
        <a:p>
          <a:endParaRPr lang="fr-FR"/>
        </a:p>
      </dgm:t>
    </dgm:pt>
    <dgm:pt modelId="{E310EB6B-736E-4118-8363-1497EF5513FB}" type="pres">
      <dgm:prSet presAssocID="{AB5E57B7-F16D-4FA1-B170-226186604141}" presName="vertThree" presStyleCnt="0"/>
      <dgm:spPr/>
      <dgm:t>
        <a:bodyPr/>
        <a:lstStyle/>
        <a:p>
          <a:endParaRPr lang="fr-FR"/>
        </a:p>
      </dgm:t>
    </dgm:pt>
    <dgm:pt modelId="{0EFD5A8F-300A-440E-916E-5DD3C4095EFC}" type="pres">
      <dgm:prSet presAssocID="{AB5E57B7-F16D-4FA1-B170-226186604141}" presName="txThree" presStyleLbl="node3" presStyleIdx="0" presStyleCnt="3" custScaleY="60120" custLinFactNeighborX="29933" custLinFactNeighborY="141">
        <dgm:presLayoutVars>
          <dgm:chPref val="3"/>
        </dgm:presLayoutVars>
      </dgm:prSet>
      <dgm:spPr/>
      <dgm:t>
        <a:bodyPr/>
        <a:lstStyle/>
        <a:p>
          <a:endParaRPr lang="fr-FR"/>
        </a:p>
      </dgm:t>
    </dgm:pt>
    <dgm:pt modelId="{15E1A5EC-49A6-4C10-A6FF-C11219C6D58B}" type="pres">
      <dgm:prSet presAssocID="{AB5E57B7-F16D-4FA1-B170-226186604141}" presName="horzThree" presStyleCnt="0"/>
      <dgm:spPr/>
      <dgm:t>
        <a:bodyPr/>
        <a:lstStyle/>
        <a:p>
          <a:endParaRPr lang="fr-FR"/>
        </a:p>
      </dgm:t>
    </dgm:pt>
    <dgm:pt modelId="{3B733011-C7C2-4A22-BD02-55FF5EA7AB70}" type="pres">
      <dgm:prSet presAssocID="{86206AB1-6DBD-4ABC-8832-0FA255391DBA}" presName="sibSpaceThree" presStyleCnt="0"/>
      <dgm:spPr/>
      <dgm:t>
        <a:bodyPr/>
        <a:lstStyle/>
        <a:p>
          <a:endParaRPr lang="fr-FR"/>
        </a:p>
      </dgm:t>
    </dgm:pt>
    <dgm:pt modelId="{E6F99661-8A69-40AC-B2FE-759E0AC7A3E8}" type="pres">
      <dgm:prSet presAssocID="{3E776061-65CD-49CE-8193-0546CDF99E61}" presName="vertThree" presStyleCnt="0"/>
      <dgm:spPr/>
      <dgm:t>
        <a:bodyPr/>
        <a:lstStyle/>
        <a:p>
          <a:endParaRPr lang="fr-FR"/>
        </a:p>
      </dgm:t>
    </dgm:pt>
    <dgm:pt modelId="{A837AC54-7BE7-4B2D-BCFE-66339567A6F0}" type="pres">
      <dgm:prSet presAssocID="{3E776061-65CD-49CE-8193-0546CDF99E61}" presName="txThree" presStyleLbl="node3" presStyleIdx="1" presStyleCnt="3" custScaleY="60022" custLinFactNeighborX="44233" custLinFactNeighborY="201">
        <dgm:presLayoutVars>
          <dgm:chPref val="3"/>
        </dgm:presLayoutVars>
      </dgm:prSet>
      <dgm:spPr/>
      <dgm:t>
        <a:bodyPr/>
        <a:lstStyle/>
        <a:p>
          <a:endParaRPr lang="fr-FR"/>
        </a:p>
      </dgm:t>
    </dgm:pt>
    <dgm:pt modelId="{8FF7E496-48F5-490A-9E8B-9B69BE4637F1}" type="pres">
      <dgm:prSet presAssocID="{3E776061-65CD-49CE-8193-0546CDF99E61}" presName="horzThree" presStyleCnt="0"/>
      <dgm:spPr/>
      <dgm:t>
        <a:bodyPr/>
        <a:lstStyle/>
        <a:p>
          <a:endParaRPr lang="fr-FR"/>
        </a:p>
      </dgm:t>
    </dgm:pt>
    <dgm:pt modelId="{E1AA0DDF-2819-4DA6-8AB1-2AAD368B98DB}" type="pres">
      <dgm:prSet presAssocID="{82191064-87F3-4402-9549-50D886363DC1}" presName="sibSpaceTwo" presStyleCnt="0"/>
      <dgm:spPr/>
      <dgm:t>
        <a:bodyPr/>
        <a:lstStyle/>
        <a:p>
          <a:endParaRPr lang="fr-FR"/>
        </a:p>
      </dgm:t>
    </dgm:pt>
    <dgm:pt modelId="{8A2007EF-8984-4F45-8356-B33C1FC4C884}" type="pres">
      <dgm:prSet presAssocID="{170FD6B7-69B0-4989-AD59-70C1E5518D73}" presName="vertTwo" presStyleCnt="0"/>
      <dgm:spPr/>
      <dgm:t>
        <a:bodyPr/>
        <a:lstStyle/>
        <a:p>
          <a:endParaRPr lang="fr-FR"/>
        </a:p>
      </dgm:t>
    </dgm:pt>
    <dgm:pt modelId="{AE0C6C5E-2620-463F-B183-723746C94D6E}" type="pres">
      <dgm:prSet presAssocID="{170FD6B7-69B0-4989-AD59-70C1E5518D73}" presName="txTwo" presStyleLbl="node2" presStyleIdx="1" presStyleCnt="2" custScaleX="180469" custScaleY="110541" custLinFactNeighborX="-8402">
        <dgm:presLayoutVars>
          <dgm:chPref val="3"/>
        </dgm:presLayoutVars>
      </dgm:prSet>
      <dgm:spPr/>
      <dgm:t>
        <a:bodyPr/>
        <a:lstStyle/>
        <a:p>
          <a:endParaRPr lang="fr-FR"/>
        </a:p>
      </dgm:t>
    </dgm:pt>
    <dgm:pt modelId="{BAFBB1BE-70CA-494E-8195-103C8575EB4B}" type="pres">
      <dgm:prSet presAssocID="{170FD6B7-69B0-4989-AD59-70C1E5518D73}" presName="parTransTwo" presStyleCnt="0"/>
      <dgm:spPr/>
      <dgm:t>
        <a:bodyPr/>
        <a:lstStyle/>
        <a:p>
          <a:endParaRPr lang="fr-FR"/>
        </a:p>
      </dgm:t>
    </dgm:pt>
    <dgm:pt modelId="{F14BD7E8-3CF0-49E0-8C03-B2C0BA64208C}" type="pres">
      <dgm:prSet presAssocID="{170FD6B7-69B0-4989-AD59-70C1E5518D73}" presName="horzTwo" presStyleCnt="0"/>
      <dgm:spPr/>
      <dgm:t>
        <a:bodyPr/>
        <a:lstStyle/>
        <a:p>
          <a:endParaRPr lang="fr-FR"/>
        </a:p>
      </dgm:t>
    </dgm:pt>
    <dgm:pt modelId="{E64B2056-3A65-464D-A24B-0D055814DDB9}" type="pres">
      <dgm:prSet presAssocID="{D96FFFB8-6E8C-471A-B77A-7DF3FA78D809}" presName="vertThree" presStyleCnt="0"/>
      <dgm:spPr/>
      <dgm:t>
        <a:bodyPr/>
        <a:lstStyle/>
        <a:p>
          <a:endParaRPr lang="fr-FR"/>
        </a:p>
      </dgm:t>
    </dgm:pt>
    <dgm:pt modelId="{5DC3B81F-AE7B-4042-869E-844AC93D0667}" type="pres">
      <dgm:prSet presAssocID="{D96FFFB8-6E8C-471A-B77A-7DF3FA78D809}" presName="txThree" presStyleLbl="node3" presStyleIdx="2" presStyleCnt="3" custScaleY="59750" custLinFactNeighborX="15754" custLinFactNeighborY="1461">
        <dgm:presLayoutVars>
          <dgm:chPref val="3"/>
        </dgm:presLayoutVars>
      </dgm:prSet>
      <dgm:spPr/>
      <dgm:t>
        <a:bodyPr/>
        <a:lstStyle/>
        <a:p>
          <a:endParaRPr lang="fr-FR"/>
        </a:p>
      </dgm:t>
    </dgm:pt>
    <dgm:pt modelId="{98FBE1C3-FA01-45DE-9629-0E49DEE92E93}" type="pres">
      <dgm:prSet presAssocID="{D96FFFB8-6E8C-471A-B77A-7DF3FA78D809}" presName="horzThree" presStyleCnt="0"/>
      <dgm:spPr/>
      <dgm:t>
        <a:bodyPr/>
        <a:lstStyle/>
        <a:p>
          <a:endParaRPr lang="fr-FR"/>
        </a:p>
      </dgm:t>
    </dgm:pt>
  </dgm:ptLst>
  <dgm:cxnLst>
    <dgm:cxn modelId="{B7344CA1-97F3-4305-85DC-0C62B03526BD}" type="presOf" srcId="{02B7FEB7-ADD7-4BF7-8E99-DFA254892F3C}" destId="{EEB4B856-3BB5-420C-BC4E-13B0C7FD207A}" srcOrd="0" destOrd="0" presId="urn:microsoft.com/office/officeart/2005/8/layout/hierarchy4"/>
    <dgm:cxn modelId="{8D81D88F-A94B-4F00-A6D8-CD7ADC1947F1}" srcId="{170FD6B7-69B0-4989-AD59-70C1E5518D73}" destId="{D96FFFB8-6E8C-471A-B77A-7DF3FA78D809}" srcOrd="0" destOrd="0" parTransId="{2232FA1E-3E81-48DE-97AE-73CBF83D8B98}" sibTransId="{8E209E77-530C-4350-BD78-2E72F3ED9980}"/>
    <dgm:cxn modelId="{7CC23BA7-2C7E-4726-A725-CFDE16431A65}" type="presOf" srcId="{D96FFFB8-6E8C-471A-B77A-7DF3FA78D809}" destId="{5DC3B81F-AE7B-4042-869E-844AC93D0667}" srcOrd="0" destOrd="0" presId="urn:microsoft.com/office/officeart/2005/8/layout/hierarchy4"/>
    <dgm:cxn modelId="{80F89CB4-A11E-423C-89B1-807C30BF6065}" type="presOf" srcId="{3E776061-65CD-49CE-8193-0546CDF99E61}" destId="{A837AC54-7BE7-4B2D-BCFE-66339567A6F0}" srcOrd="0" destOrd="0" presId="urn:microsoft.com/office/officeart/2005/8/layout/hierarchy4"/>
    <dgm:cxn modelId="{2B185A08-39A2-4ABA-BC08-C1CDB20B67C3}" srcId="{A077B74B-5178-4F96-A59A-8AA3D525F5AE}" destId="{C282ECCA-9471-496E-BD73-29CCF3749DC1}" srcOrd="0" destOrd="0" parTransId="{493EB70D-FBAA-4511-8952-2DF3ACC3C592}" sibTransId="{A405C3F4-B071-4D51-AEC4-CB2088EF4CC6}"/>
    <dgm:cxn modelId="{E9C89803-8324-40AA-A648-0AEE0DFDF673}" type="presOf" srcId="{170FD6B7-69B0-4989-AD59-70C1E5518D73}" destId="{AE0C6C5E-2620-463F-B183-723746C94D6E}" srcOrd="0" destOrd="0" presId="urn:microsoft.com/office/officeart/2005/8/layout/hierarchy4"/>
    <dgm:cxn modelId="{61D13A1C-6762-4F4A-8C0C-2876AF948CC2}" type="presOf" srcId="{C282ECCA-9471-496E-BD73-29CCF3749DC1}" destId="{51EC3B0F-58B1-447A-8DEC-4DB47EC3DAF5}" srcOrd="0" destOrd="0" presId="urn:microsoft.com/office/officeart/2005/8/layout/hierarchy4"/>
    <dgm:cxn modelId="{93E0BFF7-7743-40EC-9205-CEC303E5CD26}" srcId="{02B7FEB7-ADD7-4BF7-8E99-DFA254892F3C}" destId="{AB5E57B7-F16D-4FA1-B170-226186604141}" srcOrd="0" destOrd="0" parTransId="{6C4513F2-FF43-4809-85FC-369B478E019E}" sibTransId="{86206AB1-6DBD-4ABC-8832-0FA255391DBA}"/>
    <dgm:cxn modelId="{07778B31-5242-4494-8ABE-DB2C5E21BBDA}" srcId="{C282ECCA-9471-496E-BD73-29CCF3749DC1}" destId="{02B7FEB7-ADD7-4BF7-8E99-DFA254892F3C}" srcOrd="0" destOrd="0" parTransId="{7BB962FB-8CFE-426E-9566-4F81D96C97CA}" sibTransId="{82191064-87F3-4402-9549-50D886363DC1}"/>
    <dgm:cxn modelId="{B8271F6B-78A2-4ABF-B388-C47EAE5C0A46}" srcId="{C282ECCA-9471-496E-BD73-29CCF3749DC1}" destId="{170FD6B7-69B0-4989-AD59-70C1E5518D73}" srcOrd="1" destOrd="0" parTransId="{6A00738E-7892-4503-8CD0-A5192F830F12}" sibTransId="{E7E8C954-80D7-401A-B739-E8C148B0A93C}"/>
    <dgm:cxn modelId="{C199074E-CD00-4282-8295-723F23547986}" type="presOf" srcId="{AB5E57B7-F16D-4FA1-B170-226186604141}" destId="{0EFD5A8F-300A-440E-916E-5DD3C4095EFC}" srcOrd="0" destOrd="0" presId="urn:microsoft.com/office/officeart/2005/8/layout/hierarchy4"/>
    <dgm:cxn modelId="{7B7554A2-CC99-4641-8CC0-070DE028B151}" srcId="{02B7FEB7-ADD7-4BF7-8E99-DFA254892F3C}" destId="{3E776061-65CD-49CE-8193-0546CDF99E61}" srcOrd="1" destOrd="0" parTransId="{7E48622C-FCE4-422B-AF41-D03784CD650C}" sibTransId="{578FD40F-E390-45AD-A263-FACC587BCB14}"/>
    <dgm:cxn modelId="{63BAADDD-47FC-4831-BC3B-A7E5A319E942}" type="presOf" srcId="{A077B74B-5178-4F96-A59A-8AA3D525F5AE}" destId="{BFC71A68-D49A-4718-A4D0-9EBFD3A52880}" srcOrd="0" destOrd="0" presId="urn:microsoft.com/office/officeart/2005/8/layout/hierarchy4"/>
    <dgm:cxn modelId="{BBA68F4A-C2AB-4046-864C-C9B882C69E14}" type="presParOf" srcId="{BFC71A68-D49A-4718-A4D0-9EBFD3A52880}" destId="{07206771-8BE0-4624-A5C1-A8EC5D685D27}" srcOrd="0" destOrd="0" presId="urn:microsoft.com/office/officeart/2005/8/layout/hierarchy4"/>
    <dgm:cxn modelId="{BB1A885F-7FE7-44FE-A29D-5D8C3D831F65}" type="presParOf" srcId="{07206771-8BE0-4624-A5C1-A8EC5D685D27}" destId="{51EC3B0F-58B1-447A-8DEC-4DB47EC3DAF5}" srcOrd="0" destOrd="0" presId="urn:microsoft.com/office/officeart/2005/8/layout/hierarchy4"/>
    <dgm:cxn modelId="{FBBC70BD-F424-429D-841B-6E09DB768010}" type="presParOf" srcId="{07206771-8BE0-4624-A5C1-A8EC5D685D27}" destId="{E91A45BB-382C-4CE6-B36E-CAFEA57B375C}" srcOrd="1" destOrd="0" presId="urn:microsoft.com/office/officeart/2005/8/layout/hierarchy4"/>
    <dgm:cxn modelId="{5C06D2EC-2252-44F3-A3FA-DE511049FE81}" type="presParOf" srcId="{07206771-8BE0-4624-A5C1-A8EC5D685D27}" destId="{04782435-F125-4008-B747-C618810E7ADE}" srcOrd="2" destOrd="0" presId="urn:microsoft.com/office/officeart/2005/8/layout/hierarchy4"/>
    <dgm:cxn modelId="{5E3BD954-9A5A-4B67-B246-58836A492810}" type="presParOf" srcId="{04782435-F125-4008-B747-C618810E7ADE}" destId="{7652BA93-0821-4390-8FA2-0355804419CA}" srcOrd="0" destOrd="0" presId="urn:microsoft.com/office/officeart/2005/8/layout/hierarchy4"/>
    <dgm:cxn modelId="{A8CA9E70-BC7A-46AF-B13F-2EA4E1E179EB}" type="presParOf" srcId="{7652BA93-0821-4390-8FA2-0355804419CA}" destId="{EEB4B856-3BB5-420C-BC4E-13B0C7FD207A}" srcOrd="0" destOrd="0" presId="urn:microsoft.com/office/officeart/2005/8/layout/hierarchy4"/>
    <dgm:cxn modelId="{A786E911-7A96-4919-B460-49605A5174E9}" type="presParOf" srcId="{7652BA93-0821-4390-8FA2-0355804419CA}" destId="{B233DF5C-1914-4AA9-B832-9DD8C70528ED}" srcOrd="1" destOrd="0" presId="urn:microsoft.com/office/officeart/2005/8/layout/hierarchy4"/>
    <dgm:cxn modelId="{D628DAA6-9D74-4386-8A23-F47F27E5AF6E}" type="presParOf" srcId="{7652BA93-0821-4390-8FA2-0355804419CA}" destId="{94D279CB-9B81-4807-9271-3A69159118BE}" srcOrd="2" destOrd="0" presId="urn:microsoft.com/office/officeart/2005/8/layout/hierarchy4"/>
    <dgm:cxn modelId="{84327E28-33D6-42F8-ADCD-F0AD4A243225}" type="presParOf" srcId="{94D279CB-9B81-4807-9271-3A69159118BE}" destId="{E310EB6B-736E-4118-8363-1497EF5513FB}" srcOrd="0" destOrd="0" presId="urn:microsoft.com/office/officeart/2005/8/layout/hierarchy4"/>
    <dgm:cxn modelId="{3CED9A39-06E9-4940-850B-46E2743E32B3}" type="presParOf" srcId="{E310EB6B-736E-4118-8363-1497EF5513FB}" destId="{0EFD5A8F-300A-440E-916E-5DD3C4095EFC}" srcOrd="0" destOrd="0" presId="urn:microsoft.com/office/officeart/2005/8/layout/hierarchy4"/>
    <dgm:cxn modelId="{9E141BE4-C4F0-4858-A16B-7729FAC4E5CD}" type="presParOf" srcId="{E310EB6B-736E-4118-8363-1497EF5513FB}" destId="{15E1A5EC-49A6-4C10-A6FF-C11219C6D58B}" srcOrd="1" destOrd="0" presId="urn:microsoft.com/office/officeart/2005/8/layout/hierarchy4"/>
    <dgm:cxn modelId="{3C2E3DB0-1ACB-40EA-AFD2-92FBD42BD2D9}" type="presParOf" srcId="{94D279CB-9B81-4807-9271-3A69159118BE}" destId="{3B733011-C7C2-4A22-BD02-55FF5EA7AB70}" srcOrd="1" destOrd="0" presId="urn:microsoft.com/office/officeart/2005/8/layout/hierarchy4"/>
    <dgm:cxn modelId="{0683E266-7A9F-4142-8E80-3EB5A25E9DE1}" type="presParOf" srcId="{94D279CB-9B81-4807-9271-3A69159118BE}" destId="{E6F99661-8A69-40AC-B2FE-759E0AC7A3E8}" srcOrd="2" destOrd="0" presId="urn:microsoft.com/office/officeart/2005/8/layout/hierarchy4"/>
    <dgm:cxn modelId="{0FD46BAD-6796-401F-BF57-025729E72D3C}" type="presParOf" srcId="{E6F99661-8A69-40AC-B2FE-759E0AC7A3E8}" destId="{A837AC54-7BE7-4B2D-BCFE-66339567A6F0}" srcOrd="0" destOrd="0" presId="urn:microsoft.com/office/officeart/2005/8/layout/hierarchy4"/>
    <dgm:cxn modelId="{23545435-CF1A-4016-A0D4-B10ACDC5656A}" type="presParOf" srcId="{E6F99661-8A69-40AC-B2FE-759E0AC7A3E8}" destId="{8FF7E496-48F5-490A-9E8B-9B69BE4637F1}" srcOrd="1" destOrd="0" presId="urn:microsoft.com/office/officeart/2005/8/layout/hierarchy4"/>
    <dgm:cxn modelId="{936A023C-E244-4F46-A50E-4E312E31C0EC}" type="presParOf" srcId="{04782435-F125-4008-B747-C618810E7ADE}" destId="{E1AA0DDF-2819-4DA6-8AB1-2AAD368B98DB}" srcOrd="1" destOrd="0" presId="urn:microsoft.com/office/officeart/2005/8/layout/hierarchy4"/>
    <dgm:cxn modelId="{DDB4869E-381C-4ACD-B1A2-A4E28ABF102A}" type="presParOf" srcId="{04782435-F125-4008-B747-C618810E7ADE}" destId="{8A2007EF-8984-4F45-8356-B33C1FC4C884}" srcOrd="2" destOrd="0" presId="urn:microsoft.com/office/officeart/2005/8/layout/hierarchy4"/>
    <dgm:cxn modelId="{C45FF3F4-CD76-4D2B-AAC8-4E2B7F9210E5}" type="presParOf" srcId="{8A2007EF-8984-4F45-8356-B33C1FC4C884}" destId="{AE0C6C5E-2620-463F-B183-723746C94D6E}" srcOrd="0" destOrd="0" presId="urn:microsoft.com/office/officeart/2005/8/layout/hierarchy4"/>
    <dgm:cxn modelId="{E8625E0E-1769-4B6E-815E-6C959A294D18}" type="presParOf" srcId="{8A2007EF-8984-4F45-8356-B33C1FC4C884}" destId="{BAFBB1BE-70CA-494E-8195-103C8575EB4B}" srcOrd="1" destOrd="0" presId="urn:microsoft.com/office/officeart/2005/8/layout/hierarchy4"/>
    <dgm:cxn modelId="{4E7CC0BD-0E38-4A47-930F-9D98347ADEFB}" type="presParOf" srcId="{8A2007EF-8984-4F45-8356-B33C1FC4C884}" destId="{F14BD7E8-3CF0-49E0-8C03-B2C0BA64208C}" srcOrd="2" destOrd="0" presId="urn:microsoft.com/office/officeart/2005/8/layout/hierarchy4"/>
    <dgm:cxn modelId="{D00CD304-018F-4433-B3C1-8116BEAB9848}" type="presParOf" srcId="{F14BD7E8-3CF0-49E0-8C03-B2C0BA64208C}" destId="{E64B2056-3A65-464D-A24B-0D055814DDB9}" srcOrd="0" destOrd="0" presId="urn:microsoft.com/office/officeart/2005/8/layout/hierarchy4"/>
    <dgm:cxn modelId="{39D03B86-ED1F-403A-885E-CCC4CC7ADB9A}" type="presParOf" srcId="{E64B2056-3A65-464D-A24B-0D055814DDB9}" destId="{5DC3B81F-AE7B-4042-869E-844AC93D0667}" srcOrd="0" destOrd="0" presId="urn:microsoft.com/office/officeart/2005/8/layout/hierarchy4"/>
    <dgm:cxn modelId="{32B89A3D-230F-4DAA-AB4F-C0C4928AB64D}" type="presParOf" srcId="{E64B2056-3A65-464D-A24B-0D055814DDB9}" destId="{98FBE1C3-FA01-45DE-9629-0E49DEE92E93}" srcOrd="1" destOrd="0" presId="urn:microsoft.com/office/officeart/2005/8/layout/hierarchy4"/>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8FF98E0-A662-45DA-9EEE-93BB71176A1F}" type="doc">
      <dgm:prSet loTypeId="urn:microsoft.com/office/officeart/2005/8/layout/hList1" loCatId="list" qsTypeId="urn:microsoft.com/office/officeart/2005/8/quickstyle/simple1" qsCatId="simple" csTypeId="urn:microsoft.com/office/officeart/2005/8/colors/colorful1" csCatId="colorful" phldr="1"/>
      <dgm:spPr/>
      <dgm:t>
        <a:bodyPr/>
        <a:lstStyle/>
        <a:p>
          <a:endParaRPr lang="fr-FR"/>
        </a:p>
      </dgm:t>
    </dgm:pt>
    <dgm:pt modelId="{66D2ABFF-DAF3-4596-BFEA-CC5DAA569607}">
      <dgm:prSet phldrT="[Texte]" custT="1"/>
      <dgm:spPr>
        <a:xfrm>
          <a:off x="1483" y="5368"/>
          <a:ext cx="1446430" cy="578572"/>
        </a:xfrm>
        <a:solidFill>
          <a:srgbClr val="ED7D31">
            <a:hueOff val="0"/>
            <a:satOff val="0"/>
            <a:lumOff val="0"/>
            <a:alphaOff val="0"/>
          </a:srgbClr>
        </a:solidFill>
        <a:ln w="12700" cap="flat" cmpd="sng" algn="ctr">
          <a:solidFill>
            <a:srgbClr val="ED7D31">
              <a:hueOff val="0"/>
              <a:satOff val="0"/>
              <a:lumOff val="0"/>
              <a:alphaOff val="0"/>
            </a:srgbClr>
          </a:solidFill>
          <a:prstDash val="solid"/>
          <a:miter lim="800000"/>
        </a:ln>
        <a:effectLst/>
      </dgm:spPr>
      <dgm:t>
        <a:bodyPr/>
        <a:lstStyle/>
        <a:p>
          <a:r>
            <a:rPr lang="fr-FR" sz="1050" b="1">
              <a:solidFill>
                <a:sysClr val="window" lastClr="FFFFFF"/>
              </a:solidFill>
              <a:latin typeface="Calibri" panose="020F0502020204030204"/>
              <a:ea typeface="+mn-ea"/>
              <a:cs typeface="+mn-cs"/>
            </a:rPr>
            <a:t>Variante</a:t>
          </a:r>
        </a:p>
      </dgm:t>
    </dgm:pt>
    <dgm:pt modelId="{C0C2CB9F-794E-4E51-89B1-CF421397BA93}" type="parTrans" cxnId="{9A13DD83-0FFF-4299-A178-59AA5AA1EBEC}">
      <dgm:prSet/>
      <dgm:spPr/>
      <dgm:t>
        <a:bodyPr/>
        <a:lstStyle/>
        <a:p>
          <a:endParaRPr lang="fr-FR"/>
        </a:p>
      </dgm:t>
    </dgm:pt>
    <dgm:pt modelId="{55FB380C-E2CD-4C78-9243-3548C66B9C47}" type="sibTrans" cxnId="{9A13DD83-0FFF-4299-A178-59AA5AA1EBEC}">
      <dgm:prSet/>
      <dgm:spPr/>
      <dgm:t>
        <a:bodyPr/>
        <a:lstStyle/>
        <a:p>
          <a:endParaRPr lang="fr-FR"/>
        </a:p>
      </dgm:t>
    </dgm:pt>
    <dgm:pt modelId="{2FD51821-D0F7-4132-AF4C-D9D5FF00DDF6}">
      <dgm:prSet phldrT="[Texte]" custT="1"/>
      <dgm:spPr>
        <a:xfrm>
          <a:off x="0" y="589310"/>
          <a:ext cx="1446430" cy="1581120"/>
        </a:xfr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gm:spPr>
      <dgm:t>
        <a:bodyPr/>
        <a:lstStyle/>
        <a:p>
          <a:pPr algn="l"/>
          <a:r>
            <a:rPr lang="fr-FR" sz="900">
              <a:solidFill>
                <a:sysClr val="windowText" lastClr="000000">
                  <a:hueOff val="0"/>
                  <a:satOff val="0"/>
                  <a:lumOff val="0"/>
                  <a:alphaOff val="0"/>
                </a:sysClr>
              </a:solidFill>
              <a:latin typeface="Calibri" panose="020F0502020204030204"/>
              <a:ea typeface="+mn-ea"/>
              <a:cs typeface="+mn-cs"/>
            </a:rPr>
            <a:t>Peut être à l'initiative du candidat ou de l'acheteur.</a:t>
          </a:r>
        </a:p>
      </dgm:t>
    </dgm:pt>
    <dgm:pt modelId="{B13DBC42-EA48-45C5-B909-89384CECD0EA}" type="parTrans" cxnId="{FA542248-52AD-4C76-935E-422C75451DD6}">
      <dgm:prSet/>
      <dgm:spPr/>
      <dgm:t>
        <a:bodyPr/>
        <a:lstStyle/>
        <a:p>
          <a:endParaRPr lang="fr-FR"/>
        </a:p>
      </dgm:t>
    </dgm:pt>
    <dgm:pt modelId="{46C4204B-2CD6-4782-AEE9-D7D969673AFE}" type="sibTrans" cxnId="{FA542248-52AD-4C76-935E-422C75451DD6}">
      <dgm:prSet/>
      <dgm:spPr/>
      <dgm:t>
        <a:bodyPr/>
        <a:lstStyle/>
        <a:p>
          <a:endParaRPr lang="fr-FR"/>
        </a:p>
      </dgm:t>
    </dgm:pt>
    <dgm:pt modelId="{D03CDF8E-F604-4B70-B072-38E5FFFA142E}">
      <dgm:prSet phldrT="[Texte]" custT="1"/>
      <dgm:spPr>
        <a:xfrm>
          <a:off x="0" y="589310"/>
          <a:ext cx="1446430" cy="1581120"/>
        </a:xfr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gm:spPr>
      <dgm:t>
        <a:bodyPr/>
        <a:lstStyle/>
        <a:p>
          <a:pPr algn="l"/>
          <a:r>
            <a:rPr lang="fr-FR" sz="900">
              <a:solidFill>
                <a:sysClr val="windowText" lastClr="000000">
                  <a:hueOff val="0"/>
                  <a:satOff val="0"/>
                  <a:lumOff val="0"/>
                  <a:alphaOff val="0"/>
                </a:sysClr>
              </a:solidFill>
              <a:latin typeface="Calibri" panose="020F0502020204030204"/>
              <a:ea typeface="+mn-ea"/>
              <a:cs typeface="+mn-cs"/>
            </a:rPr>
            <a:t>Correspond à une modification des spécifications techniques de la solution de base.</a:t>
          </a:r>
        </a:p>
      </dgm:t>
    </dgm:pt>
    <dgm:pt modelId="{ED843828-F99E-4A93-9C1E-3B65CE8B125E}" type="parTrans" cxnId="{0C57F527-3E09-4D07-ADF7-401AE7B0C8C5}">
      <dgm:prSet/>
      <dgm:spPr/>
      <dgm:t>
        <a:bodyPr/>
        <a:lstStyle/>
        <a:p>
          <a:endParaRPr lang="fr-FR"/>
        </a:p>
      </dgm:t>
    </dgm:pt>
    <dgm:pt modelId="{ABD6D7B7-5297-4760-905C-639F8F938543}" type="sibTrans" cxnId="{0C57F527-3E09-4D07-ADF7-401AE7B0C8C5}">
      <dgm:prSet/>
      <dgm:spPr/>
      <dgm:t>
        <a:bodyPr/>
        <a:lstStyle/>
        <a:p>
          <a:endParaRPr lang="fr-FR"/>
        </a:p>
      </dgm:t>
    </dgm:pt>
    <dgm:pt modelId="{0DCD01D8-1B8F-4D69-A0D5-6AEB75A0D75A}">
      <dgm:prSet phldrT="[Texte]" custT="1"/>
      <dgm:spPr>
        <a:xfrm>
          <a:off x="1650414" y="5368"/>
          <a:ext cx="1446430" cy="578572"/>
        </a:xfrm>
        <a:solidFill>
          <a:srgbClr val="A5A5A5">
            <a:hueOff val="0"/>
            <a:satOff val="0"/>
            <a:lumOff val="0"/>
            <a:alphaOff val="0"/>
          </a:srgbClr>
        </a:solidFill>
        <a:ln w="12700" cap="flat" cmpd="sng" algn="ctr">
          <a:solidFill>
            <a:srgbClr val="A5A5A5">
              <a:hueOff val="0"/>
              <a:satOff val="0"/>
              <a:lumOff val="0"/>
              <a:alphaOff val="0"/>
            </a:srgbClr>
          </a:solidFill>
          <a:prstDash val="solid"/>
          <a:miter lim="800000"/>
        </a:ln>
        <a:effectLst/>
      </dgm:spPr>
      <dgm:t>
        <a:bodyPr/>
        <a:lstStyle/>
        <a:p>
          <a:r>
            <a:rPr lang="fr-FR" sz="1050" b="1">
              <a:solidFill>
                <a:sysClr val="window" lastClr="FFFFFF"/>
              </a:solidFill>
              <a:latin typeface="Calibri" panose="020F0502020204030204"/>
              <a:ea typeface="+mn-ea"/>
              <a:cs typeface="+mn-cs"/>
            </a:rPr>
            <a:t>PSE</a:t>
          </a:r>
        </a:p>
      </dgm:t>
    </dgm:pt>
    <dgm:pt modelId="{68D6D5B5-2B6E-4B78-88D3-911451C3CE97}" type="parTrans" cxnId="{07FC2138-50C9-4D30-8EB9-EF07423817F6}">
      <dgm:prSet/>
      <dgm:spPr/>
      <dgm:t>
        <a:bodyPr/>
        <a:lstStyle/>
        <a:p>
          <a:endParaRPr lang="fr-FR"/>
        </a:p>
      </dgm:t>
    </dgm:pt>
    <dgm:pt modelId="{C7DC3C11-751B-4886-A8FF-D078678862B6}" type="sibTrans" cxnId="{07FC2138-50C9-4D30-8EB9-EF07423817F6}">
      <dgm:prSet/>
      <dgm:spPr/>
      <dgm:t>
        <a:bodyPr/>
        <a:lstStyle/>
        <a:p>
          <a:endParaRPr lang="fr-FR"/>
        </a:p>
      </dgm:t>
    </dgm:pt>
    <dgm:pt modelId="{FA80E9CC-CAFD-4B59-870F-6CAC1080A257}">
      <dgm:prSet phldrT="[Texte]" custT="1"/>
      <dgm:spPr>
        <a:xfrm>
          <a:off x="1650414" y="583941"/>
          <a:ext cx="1446430" cy="1581120"/>
        </a:xfr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r>
            <a:rPr lang="fr-FR" sz="800">
              <a:solidFill>
                <a:sysClr val="windowText" lastClr="000000">
                  <a:hueOff val="0"/>
                  <a:satOff val="0"/>
                  <a:lumOff val="0"/>
                  <a:alphaOff val="0"/>
                </a:sysClr>
              </a:solidFill>
              <a:latin typeface="Calibri" panose="020F0502020204030204"/>
              <a:ea typeface="+mn-ea"/>
              <a:cs typeface="+mn-cs"/>
            </a:rPr>
            <a:t>A l'initiative de l'acheteur uniquement</a:t>
          </a:r>
          <a:endParaRPr lang="fr-FR" sz="800">
            <a:solidFill>
              <a:srgbClr val="FF0000"/>
            </a:solidFill>
            <a:latin typeface="Calibri" panose="020F0502020204030204"/>
            <a:ea typeface="+mn-ea"/>
            <a:cs typeface="+mn-cs"/>
          </a:endParaRPr>
        </a:p>
      </dgm:t>
    </dgm:pt>
    <dgm:pt modelId="{9015BC7D-8A4B-4A8F-8FDC-97EA3478F0B7}" type="parTrans" cxnId="{676D5A29-9704-4F98-8374-0D9887083C4B}">
      <dgm:prSet/>
      <dgm:spPr/>
      <dgm:t>
        <a:bodyPr/>
        <a:lstStyle/>
        <a:p>
          <a:endParaRPr lang="fr-FR"/>
        </a:p>
      </dgm:t>
    </dgm:pt>
    <dgm:pt modelId="{BE3C0553-59E6-4D36-A2B2-0D862CBFA43B}" type="sibTrans" cxnId="{676D5A29-9704-4F98-8374-0D9887083C4B}">
      <dgm:prSet/>
      <dgm:spPr/>
      <dgm:t>
        <a:bodyPr/>
        <a:lstStyle/>
        <a:p>
          <a:endParaRPr lang="fr-FR"/>
        </a:p>
      </dgm:t>
    </dgm:pt>
    <dgm:pt modelId="{93607875-88E7-495D-90C6-E52F4A115F5E}">
      <dgm:prSet phldrT="[Texte]" custT="1"/>
      <dgm:spPr>
        <a:xfrm>
          <a:off x="3299345" y="5368"/>
          <a:ext cx="1446430" cy="578572"/>
        </a:xfrm>
        <a:solidFill>
          <a:srgbClr val="FFC000">
            <a:hueOff val="0"/>
            <a:satOff val="0"/>
            <a:lumOff val="0"/>
            <a:alphaOff val="0"/>
          </a:srgbClr>
        </a:solidFill>
        <a:ln w="12700" cap="flat" cmpd="sng" algn="ctr">
          <a:solidFill>
            <a:srgbClr val="FFC000">
              <a:hueOff val="0"/>
              <a:satOff val="0"/>
              <a:lumOff val="0"/>
              <a:alphaOff val="0"/>
            </a:srgbClr>
          </a:solidFill>
          <a:prstDash val="solid"/>
          <a:miter lim="800000"/>
        </a:ln>
        <a:effectLst/>
      </dgm:spPr>
      <dgm:t>
        <a:bodyPr/>
        <a:lstStyle/>
        <a:p>
          <a:r>
            <a:rPr lang="fr-FR" sz="1050" b="1">
              <a:solidFill>
                <a:sysClr val="window" lastClr="FFFFFF"/>
              </a:solidFill>
              <a:latin typeface="Calibri" panose="020F0502020204030204"/>
              <a:ea typeface="+mn-ea"/>
              <a:cs typeface="+mn-cs"/>
            </a:rPr>
            <a:t>Option</a:t>
          </a:r>
        </a:p>
      </dgm:t>
    </dgm:pt>
    <dgm:pt modelId="{DC8CB140-9550-459F-A9A2-B29652EBD13D}" type="parTrans" cxnId="{0CA8ECB9-52E6-4828-BAD7-5964CC7531F1}">
      <dgm:prSet/>
      <dgm:spPr/>
      <dgm:t>
        <a:bodyPr/>
        <a:lstStyle/>
        <a:p>
          <a:endParaRPr lang="fr-FR"/>
        </a:p>
      </dgm:t>
    </dgm:pt>
    <dgm:pt modelId="{1E22FC0C-65C7-4486-86AE-4038D1A2C576}" type="sibTrans" cxnId="{0CA8ECB9-52E6-4828-BAD7-5964CC7531F1}">
      <dgm:prSet/>
      <dgm:spPr/>
      <dgm:t>
        <a:bodyPr/>
        <a:lstStyle/>
        <a:p>
          <a:endParaRPr lang="fr-FR"/>
        </a:p>
      </dgm:t>
    </dgm:pt>
    <dgm:pt modelId="{9F37173C-4BF1-4D1E-882C-BD5B23B5B3C8}">
      <dgm:prSet phldrT="[Texte]" custT="1"/>
      <dgm:spPr>
        <a:xfrm>
          <a:off x="3299345" y="583941"/>
          <a:ext cx="1446430" cy="1581120"/>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fr-FR" sz="800">
              <a:solidFill>
                <a:sysClr val="windowText" lastClr="000000">
                  <a:hueOff val="0"/>
                  <a:satOff val="0"/>
                  <a:lumOff val="0"/>
                  <a:alphaOff val="0"/>
                </a:sysClr>
              </a:solidFill>
              <a:latin typeface="Calibri" panose="020F0502020204030204"/>
              <a:ea typeface="+mn-ea"/>
              <a:cs typeface="+mn-cs"/>
            </a:rPr>
            <a:t>A l'initiative de l'acheteur uniquement (notion européenne).</a:t>
          </a:r>
        </a:p>
      </dgm:t>
    </dgm:pt>
    <dgm:pt modelId="{752DF160-9571-4050-A94D-ECE8627E5F59}" type="parTrans" cxnId="{ADE1F745-5A46-414F-A77E-74981345C7B8}">
      <dgm:prSet/>
      <dgm:spPr/>
      <dgm:t>
        <a:bodyPr/>
        <a:lstStyle/>
        <a:p>
          <a:endParaRPr lang="fr-FR"/>
        </a:p>
      </dgm:t>
    </dgm:pt>
    <dgm:pt modelId="{01E72777-E7C3-4685-898B-E81B36D34604}" type="sibTrans" cxnId="{ADE1F745-5A46-414F-A77E-74981345C7B8}">
      <dgm:prSet/>
      <dgm:spPr/>
      <dgm:t>
        <a:bodyPr/>
        <a:lstStyle/>
        <a:p>
          <a:endParaRPr lang="fr-FR"/>
        </a:p>
      </dgm:t>
    </dgm:pt>
    <dgm:pt modelId="{57F83B46-57EC-4B2B-95FA-F7F4F83CB544}">
      <dgm:prSet phldrT="[Texte]" custT="1"/>
      <dgm:spPr>
        <a:xfrm>
          <a:off x="3299345" y="583941"/>
          <a:ext cx="1446430" cy="1581120"/>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fr-FR" sz="800">
              <a:solidFill>
                <a:sysClr val="windowText" lastClr="000000">
                  <a:hueOff val="0"/>
                  <a:satOff val="0"/>
                  <a:lumOff val="0"/>
                  <a:alphaOff val="0"/>
                </a:sysClr>
              </a:solidFill>
              <a:latin typeface="Calibri" panose="020F0502020204030204"/>
              <a:ea typeface="+mn-ea"/>
              <a:cs typeface="+mn-cs"/>
            </a:rPr>
            <a:t>Correspond à des prestations susceptibles de s’ajouter, sans remise en concurrence si prévu dans le marché initial (principalement : marchés dits "similaires", tranches optionnelles). </a:t>
          </a:r>
        </a:p>
      </dgm:t>
    </dgm:pt>
    <dgm:pt modelId="{8BA7F585-7EDE-4CF7-8BB0-0CAAA98CB9B5}" type="parTrans" cxnId="{652FB74C-CDB8-4541-A906-6AC467BB37DD}">
      <dgm:prSet/>
      <dgm:spPr/>
      <dgm:t>
        <a:bodyPr/>
        <a:lstStyle/>
        <a:p>
          <a:endParaRPr lang="fr-FR"/>
        </a:p>
      </dgm:t>
    </dgm:pt>
    <dgm:pt modelId="{8A5363B0-C49A-436C-AAE6-9F8373A5E43C}" type="sibTrans" cxnId="{652FB74C-CDB8-4541-A906-6AC467BB37DD}">
      <dgm:prSet/>
      <dgm:spPr/>
      <dgm:t>
        <a:bodyPr/>
        <a:lstStyle/>
        <a:p>
          <a:endParaRPr lang="fr-FR"/>
        </a:p>
      </dgm:t>
    </dgm:pt>
    <dgm:pt modelId="{4B55D3A1-E68E-4260-BF63-01379FA4F214}">
      <dgm:prSet phldrT="[Texte]" custT="1"/>
      <dgm:spPr>
        <a:xfrm>
          <a:off x="0" y="589310"/>
          <a:ext cx="1446430" cy="1581120"/>
        </a:xfr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gm:spPr>
      <dgm:t>
        <a:bodyPr/>
        <a:lstStyle/>
        <a:p>
          <a:pPr algn="l"/>
          <a:endParaRPr lang="fr-FR" sz="200">
            <a:solidFill>
              <a:sysClr val="windowText" lastClr="000000">
                <a:hueOff val="0"/>
                <a:satOff val="0"/>
                <a:lumOff val="0"/>
                <a:alphaOff val="0"/>
              </a:sysClr>
            </a:solidFill>
            <a:latin typeface="Calibri" panose="020F0502020204030204"/>
            <a:ea typeface="+mn-ea"/>
            <a:cs typeface="+mn-cs"/>
          </a:endParaRPr>
        </a:p>
      </dgm:t>
    </dgm:pt>
    <dgm:pt modelId="{6AF2883E-C01E-464F-9A46-CB26074E93B6}" type="parTrans" cxnId="{567A0207-3110-4082-ADD6-F19430CCABD1}">
      <dgm:prSet/>
      <dgm:spPr/>
      <dgm:t>
        <a:bodyPr/>
        <a:lstStyle/>
        <a:p>
          <a:endParaRPr lang="fr-FR"/>
        </a:p>
      </dgm:t>
    </dgm:pt>
    <dgm:pt modelId="{AAA3540D-AB5B-4F4C-BC8F-9D5955A4B461}" type="sibTrans" cxnId="{567A0207-3110-4082-ADD6-F19430CCABD1}">
      <dgm:prSet/>
      <dgm:spPr/>
      <dgm:t>
        <a:bodyPr/>
        <a:lstStyle/>
        <a:p>
          <a:endParaRPr lang="fr-FR"/>
        </a:p>
      </dgm:t>
    </dgm:pt>
    <dgm:pt modelId="{F0048E07-658F-40DC-96AE-3AE8588147D8}">
      <dgm:prSet phldrT="[Texte]" custT="1"/>
      <dgm:spPr>
        <a:xfrm>
          <a:off x="3299345" y="583941"/>
          <a:ext cx="1446430" cy="1581120"/>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fr-FR" sz="100">
            <a:solidFill>
              <a:sysClr val="windowText" lastClr="000000">
                <a:hueOff val="0"/>
                <a:satOff val="0"/>
                <a:lumOff val="0"/>
                <a:alphaOff val="0"/>
              </a:sysClr>
            </a:solidFill>
            <a:latin typeface="Calibri" panose="020F0502020204030204"/>
            <a:ea typeface="+mn-ea"/>
            <a:cs typeface="+mn-cs"/>
          </a:endParaRPr>
        </a:p>
      </dgm:t>
    </dgm:pt>
    <dgm:pt modelId="{E60894F2-5D4A-45A5-8677-37ED0053B92A}" type="parTrans" cxnId="{AD27F44A-3BA6-4D05-81E8-F90B86C11E8F}">
      <dgm:prSet/>
      <dgm:spPr/>
      <dgm:t>
        <a:bodyPr/>
        <a:lstStyle/>
        <a:p>
          <a:endParaRPr lang="fr-FR"/>
        </a:p>
      </dgm:t>
    </dgm:pt>
    <dgm:pt modelId="{5E75FC51-B57C-4127-9710-AAFF90827D80}" type="sibTrans" cxnId="{AD27F44A-3BA6-4D05-81E8-F90B86C11E8F}">
      <dgm:prSet/>
      <dgm:spPr/>
      <dgm:t>
        <a:bodyPr/>
        <a:lstStyle/>
        <a:p>
          <a:endParaRPr lang="fr-FR"/>
        </a:p>
      </dgm:t>
    </dgm:pt>
    <dgm:pt modelId="{D6AC92F5-EA48-4027-A4D8-6A93C51B55F6}">
      <dgm:prSet phldrT="[Texte]" custT="1"/>
      <dgm:spPr>
        <a:xfrm>
          <a:off x="1650414" y="583941"/>
          <a:ext cx="1446430" cy="1581120"/>
        </a:xfr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r>
            <a:rPr lang="fr-FR" sz="800">
              <a:solidFill>
                <a:sysClr val="windowText" lastClr="000000"/>
              </a:solidFill>
              <a:latin typeface="Calibri" panose="020F0502020204030204"/>
              <a:ea typeface="+mn-ea"/>
              <a:cs typeface="+mn-cs"/>
            </a:rPr>
            <a:t>S'ajoute à la solution de base sans s'y substituer</a:t>
          </a:r>
          <a:r>
            <a:rPr lang="fr-FR" sz="900">
              <a:solidFill>
                <a:sysClr val="windowText" lastClr="000000"/>
              </a:solidFill>
              <a:latin typeface="Calibri" panose="020F0502020204030204"/>
              <a:ea typeface="+mn-ea"/>
              <a:cs typeface="+mn-cs"/>
            </a:rPr>
            <a:t>.</a:t>
          </a:r>
        </a:p>
      </dgm:t>
    </dgm:pt>
    <dgm:pt modelId="{F4A1E585-362C-4FF2-9722-B6691160FEC3}" type="parTrans" cxnId="{5A02F9BC-2676-402C-ACCA-59A6CCE40EBC}">
      <dgm:prSet/>
      <dgm:spPr/>
      <dgm:t>
        <a:bodyPr/>
        <a:lstStyle/>
        <a:p>
          <a:endParaRPr lang="fr-FR"/>
        </a:p>
      </dgm:t>
    </dgm:pt>
    <dgm:pt modelId="{15E4A05E-59EA-4C45-90D3-5A2361625661}" type="sibTrans" cxnId="{5A02F9BC-2676-402C-ACCA-59A6CCE40EBC}">
      <dgm:prSet/>
      <dgm:spPr/>
      <dgm:t>
        <a:bodyPr/>
        <a:lstStyle/>
        <a:p>
          <a:endParaRPr lang="fr-FR"/>
        </a:p>
      </dgm:t>
    </dgm:pt>
    <dgm:pt modelId="{4EB60B15-68A2-45A4-861C-33AE6ED020E3}">
      <dgm:prSet phldrT="[Texte]" custT="1"/>
      <dgm:spPr>
        <a:xfrm>
          <a:off x="1650414" y="583941"/>
          <a:ext cx="1446430" cy="1581120"/>
        </a:xfr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r>
            <a:rPr lang="fr-FR" sz="800">
              <a:solidFill>
                <a:sysClr val="windowText" lastClr="000000">
                  <a:hueOff val="0"/>
                  <a:satOff val="0"/>
                  <a:lumOff val="0"/>
                  <a:alphaOff val="0"/>
                </a:sysClr>
              </a:solidFill>
              <a:latin typeface="Calibri" panose="020F0502020204030204"/>
              <a:ea typeface="+mn-ea"/>
              <a:cs typeface="+mn-cs"/>
            </a:rPr>
            <a:t>Correspond à des prestations (en lien avec l'objet du marché), qui peuvent être commandées ou non à </a:t>
          </a:r>
          <a:r>
            <a:rPr lang="fr-FR" sz="800">
              <a:solidFill>
                <a:sysClr val="windowText" lastClr="000000"/>
              </a:solidFill>
              <a:latin typeface="Calibri" panose="020F0502020204030204"/>
              <a:ea typeface="+mn-ea"/>
              <a:cs typeface="+mn-cs"/>
            </a:rPr>
            <a:t>la signature du contrat.</a:t>
          </a:r>
        </a:p>
      </dgm:t>
    </dgm:pt>
    <dgm:pt modelId="{7C66D7DC-9111-47A7-9AF1-141DB61A07AB}" type="parTrans" cxnId="{AD717437-9BAA-4815-946C-F2458077472A}">
      <dgm:prSet/>
      <dgm:spPr/>
      <dgm:t>
        <a:bodyPr/>
        <a:lstStyle/>
        <a:p>
          <a:endParaRPr lang="fr-FR"/>
        </a:p>
      </dgm:t>
    </dgm:pt>
    <dgm:pt modelId="{5A548694-3830-4DC7-925F-1F058AC0B570}" type="sibTrans" cxnId="{AD717437-9BAA-4815-946C-F2458077472A}">
      <dgm:prSet/>
      <dgm:spPr/>
      <dgm:t>
        <a:bodyPr/>
        <a:lstStyle/>
        <a:p>
          <a:endParaRPr lang="fr-FR"/>
        </a:p>
      </dgm:t>
    </dgm:pt>
    <dgm:pt modelId="{6C2E320B-7CE8-45C5-8350-E2836CAD774E}" type="pres">
      <dgm:prSet presAssocID="{98FF98E0-A662-45DA-9EEE-93BB71176A1F}" presName="Name0" presStyleCnt="0">
        <dgm:presLayoutVars>
          <dgm:dir/>
          <dgm:animLvl val="lvl"/>
          <dgm:resizeHandles val="exact"/>
        </dgm:presLayoutVars>
      </dgm:prSet>
      <dgm:spPr/>
      <dgm:t>
        <a:bodyPr/>
        <a:lstStyle/>
        <a:p>
          <a:endParaRPr lang="fr-FR"/>
        </a:p>
      </dgm:t>
    </dgm:pt>
    <dgm:pt modelId="{A7DD9286-DC33-4FD0-B792-1DB1E6F600D7}" type="pres">
      <dgm:prSet presAssocID="{66D2ABFF-DAF3-4596-BFEA-CC5DAA569607}" presName="composite" presStyleCnt="0"/>
      <dgm:spPr/>
    </dgm:pt>
    <dgm:pt modelId="{C16CC2AF-844A-48E5-88A2-3A557C324E47}" type="pres">
      <dgm:prSet presAssocID="{66D2ABFF-DAF3-4596-BFEA-CC5DAA569607}" presName="parTx" presStyleLbl="alignNode1" presStyleIdx="0" presStyleCnt="3">
        <dgm:presLayoutVars>
          <dgm:chMax val="0"/>
          <dgm:chPref val="0"/>
          <dgm:bulletEnabled val="1"/>
        </dgm:presLayoutVars>
      </dgm:prSet>
      <dgm:spPr>
        <a:prstGeom prst="rect">
          <a:avLst/>
        </a:prstGeom>
      </dgm:spPr>
      <dgm:t>
        <a:bodyPr/>
        <a:lstStyle/>
        <a:p>
          <a:endParaRPr lang="fr-FR"/>
        </a:p>
      </dgm:t>
    </dgm:pt>
    <dgm:pt modelId="{2CBA7FE0-C3CF-4F44-8FA8-F9DBFB459172}" type="pres">
      <dgm:prSet presAssocID="{66D2ABFF-DAF3-4596-BFEA-CC5DAA569607}" presName="desTx" presStyleLbl="alignAccFollowNode1" presStyleIdx="0" presStyleCnt="3" custLinFactNeighborX="-2131" custLinFactNeighborY="5283">
        <dgm:presLayoutVars>
          <dgm:bulletEnabled val="1"/>
        </dgm:presLayoutVars>
      </dgm:prSet>
      <dgm:spPr>
        <a:prstGeom prst="rect">
          <a:avLst/>
        </a:prstGeom>
      </dgm:spPr>
      <dgm:t>
        <a:bodyPr/>
        <a:lstStyle/>
        <a:p>
          <a:endParaRPr lang="fr-FR"/>
        </a:p>
      </dgm:t>
    </dgm:pt>
    <dgm:pt modelId="{8AF089CB-31B2-4D10-B7B9-7835FC9513C1}" type="pres">
      <dgm:prSet presAssocID="{55FB380C-E2CD-4C78-9243-3548C66B9C47}" presName="space" presStyleCnt="0"/>
      <dgm:spPr/>
    </dgm:pt>
    <dgm:pt modelId="{22D05352-2456-47E4-A539-B4232CE9B84F}" type="pres">
      <dgm:prSet presAssocID="{0DCD01D8-1B8F-4D69-A0D5-6AEB75A0D75A}" presName="composite" presStyleCnt="0"/>
      <dgm:spPr/>
    </dgm:pt>
    <dgm:pt modelId="{57D23D62-52BE-4308-9ABE-97149FFC80E2}" type="pres">
      <dgm:prSet presAssocID="{0DCD01D8-1B8F-4D69-A0D5-6AEB75A0D75A}" presName="parTx" presStyleLbl="alignNode1" presStyleIdx="1" presStyleCnt="3" custLinFactNeighborX="-2749" custLinFactNeighborY="-8246">
        <dgm:presLayoutVars>
          <dgm:chMax val="0"/>
          <dgm:chPref val="0"/>
          <dgm:bulletEnabled val="1"/>
        </dgm:presLayoutVars>
      </dgm:prSet>
      <dgm:spPr>
        <a:prstGeom prst="rect">
          <a:avLst/>
        </a:prstGeom>
      </dgm:spPr>
      <dgm:t>
        <a:bodyPr/>
        <a:lstStyle/>
        <a:p>
          <a:endParaRPr lang="fr-FR"/>
        </a:p>
      </dgm:t>
    </dgm:pt>
    <dgm:pt modelId="{9994DC4A-45FF-4335-80F9-3944DAF36DF9}" type="pres">
      <dgm:prSet presAssocID="{0DCD01D8-1B8F-4D69-A0D5-6AEB75A0D75A}" presName="desTx" presStyleLbl="alignAccFollowNode1" presStyleIdx="1" presStyleCnt="3" custLinFactNeighborX="-3298" custLinFactNeighborY="987">
        <dgm:presLayoutVars>
          <dgm:bulletEnabled val="1"/>
        </dgm:presLayoutVars>
      </dgm:prSet>
      <dgm:spPr>
        <a:prstGeom prst="rect">
          <a:avLst/>
        </a:prstGeom>
      </dgm:spPr>
      <dgm:t>
        <a:bodyPr/>
        <a:lstStyle/>
        <a:p>
          <a:endParaRPr lang="fr-FR"/>
        </a:p>
      </dgm:t>
    </dgm:pt>
    <dgm:pt modelId="{72937D4A-09A3-4384-9CDF-9D649EAB3768}" type="pres">
      <dgm:prSet presAssocID="{C7DC3C11-751B-4886-A8FF-D078678862B6}" presName="space" presStyleCnt="0"/>
      <dgm:spPr/>
    </dgm:pt>
    <dgm:pt modelId="{E144ADF1-3A80-493F-A0D8-CCFAFD976FB2}" type="pres">
      <dgm:prSet presAssocID="{93607875-88E7-495D-90C6-E52F4A115F5E}" presName="composite" presStyleCnt="0"/>
      <dgm:spPr/>
    </dgm:pt>
    <dgm:pt modelId="{909B3904-4067-4825-871C-05E5852CB704}" type="pres">
      <dgm:prSet presAssocID="{93607875-88E7-495D-90C6-E52F4A115F5E}" presName="parTx" presStyleLbl="alignNode1" presStyleIdx="2" presStyleCnt="3">
        <dgm:presLayoutVars>
          <dgm:chMax val="0"/>
          <dgm:chPref val="0"/>
          <dgm:bulletEnabled val="1"/>
        </dgm:presLayoutVars>
      </dgm:prSet>
      <dgm:spPr>
        <a:prstGeom prst="rect">
          <a:avLst/>
        </a:prstGeom>
      </dgm:spPr>
      <dgm:t>
        <a:bodyPr/>
        <a:lstStyle/>
        <a:p>
          <a:endParaRPr lang="fr-FR"/>
        </a:p>
      </dgm:t>
    </dgm:pt>
    <dgm:pt modelId="{78C1F8B7-AA66-4463-B20A-1FF96CE56489}" type="pres">
      <dgm:prSet presAssocID="{93607875-88E7-495D-90C6-E52F4A115F5E}" presName="desTx" presStyleLbl="alignAccFollowNode1" presStyleIdx="2" presStyleCnt="3">
        <dgm:presLayoutVars>
          <dgm:bulletEnabled val="1"/>
        </dgm:presLayoutVars>
      </dgm:prSet>
      <dgm:spPr>
        <a:prstGeom prst="rect">
          <a:avLst/>
        </a:prstGeom>
      </dgm:spPr>
      <dgm:t>
        <a:bodyPr/>
        <a:lstStyle/>
        <a:p>
          <a:endParaRPr lang="fr-FR"/>
        </a:p>
      </dgm:t>
    </dgm:pt>
  </dgm:ptLst>
  <dgm:cxnLst>
    <dgm:cxn modelId="{51BE77AC-7E66-4E2F-BA94-02D973CAB179}" type="presOf" srcId="{FA80E9CC-CAFD-4B59-870F-6CAC1080A257}" destId="{9994DC4A-45FF-4335-80F9-3944DAF36DF9}" srcOrd="0" destOrd="0" presId="urn:microsoft.com/office/officeart/2005/8/layout/hList1"/>
    <dgm:cxn modelId="{BE7DC2FD-8305-4C92-B110-9559BB6B362B}" type="presOf" srcId="{2FD51821-D0F7-4132-AF4C-D9D5FF00DDF6}" destId="{2CBA7FE0-C3CF-4F44-8FA8-F9DBFB459172}" srcOrd="0" destOrd="0" presId="urn:microsoft.com/office/officeart/2005/8/layout/hList1"/>
    <dgm:cxn modelId="{FB681A3C-07AD-42AB-AC3D-05FEC603AA64}" type="presOf" srcId="{D03CDF8E-F604-4B70-B072-38E5FFFA142E}" destId="{2CBA7FE0-C3CF-4F44-8FA8-F9DBFB459172}" srcOrd="0" destOrd="2" presId="urn:microsoft.com/office/officeart/2005/8/layout/hList1"/>
    <dgm:cxn modelId="{AD717437-9BAA-4815-946C-F2458077472A}" srcId="{0DCD01D8-1B8F-4D69-A0D5-6AEB75A0D75A}" destId="{4EB60B15-68A2-45A4-861C-33AE6ED020E3}" srcOrd="1" destOrd="0" parTransId="{7C66D7DC-9111-47A7-9AF1-141DB61A07AB}" sibTransId="{5A548694-3830-4DC7-925F-1F058AC0B570}"/>
    <dgm:cxn modelId="{5A02F9BC-2676-402C-ACCA-59A6CCE40EBC}" srcId="{0DCD01D8-1B8F-4D69-A0D5-6AEB75A0D75A}" destId="{D6AC92F5-EA48-4027-A4D8-6A93C51B55F6}" srcOrd="2" destOrd="0" parTransId="{F4A1E585-362C-4FF2-9722-B6691160FEC3}" sibTransId="{15E4A05E-59EA-4C45-90D3-5A2361625661}"/>
    <dgm:cxn modelId="{941936AA-BE26-4118-817F-B3387254E11F}" type="presOf" srcId="{57F83B46-57EC-4B2B-95FA-F7F4F83CB544}" destId="{78C1F8B7-AA66-4463-B20A-1FF96CE56489}" srcOrd="0" destOrd="2" presId="urn:microsoft.com/office/officeart/2005/8/layout/hList1"/>
    <dgm:cxn modelId="{C1AF509C-59A5-48B0-B04B-92D53D6DD796}" type="presOf" srcId="{0DCD01D8-1B8F-4D69-A0D5-6AEB75A0D75A}" destId="{57D23D62-52BE-4308-9ABE-97149FFC80E2}" srcOrd="0" destOrd="0" presId="urn:microsoft.com/office/officeart/2005/8/layout/hList1"/>
    <dgm:cxn modelId="{D0B97B18-5E54-4E50-AFDB-C9BE907BE31D}" type="presOf" srcId="{D6AC92F5-EA48-4027-A4D8-6A93C51B55F6}" destId="{9994DC4A-45FF-4335-80F9-3944DAF36DF9}" srcOrd="0" destOrd="2" presId="urn:microsoft.com/office/officeart/2005/8/layout/hList1"/>
    <dgm:cxn modelId="{0C57F527-3E09-4D07-ADF7-401AE7B0C8C5}" srcId="{66D2ABFF-DAF3-4596-BFEA-CC5DAA569607}" destId="{D03CDF8E-F604-4B70-B072-38E5FFFA142E}" srcOrd="2" destOrd="0" parTransId="{ED843828-F99E-4A93-9C1E-3B65CE8B125E}" sibTransId="{ABD6D7B7-5297-4760-905C-639F8F938543}"/>
    <dgm:cxn modelId="{FA542248-52AD-4C76-935E-422C75451DD6}" srcId="{66D2ABFF-DAF3-4596-BFEA-CC5DAA569607}" destId="{2FD51821-D0F7-4132-AF4C-D9D5FF00DDF6}" srcOrd="0" destOrd="0" parTransId="{B13DBC42-EA48-45C5-B909-89384CECD0EA}" sibTransId="{46C4204B-2CD6-4782-AEE9-D7D969673AFE}"/>
    <dgm:cxn modelId="{567A0207-3110-4082-ADD6-F19430CCABD1}" srcId="{66D2ABFF-DAF3-4596-BFEA-CC5DAA569607}" destId="{4B55D3A1-E68E-4260-BF63-01379FA4F214}" srcOrd="1" destOrd="0" parTransId="{6AF2883E-C01E-464F-9A46-CB26074E93B6}" sibTransId="{AAA3540D-AB5B-4F4C-BC8F-9D5955A4B461}"/>
    <dgm:cxn modelId="{566DFF06-6770-4A09-8920-F511B0FAA6D8}" type="presOf" srcId="{F0048E07-658F-40DC-96AE-3AE8588147D8}" destId="{78C1F8B7-AA66-4463-B20A-1FF96CE56489}" srcOrd="0" destOrd="1" presId="urn:microsoft.com/office/officeart/2005/8/layout/hList1"/>
    <dgm:cxn modelId="{FA195417-2194-4FF3-A16E-74EF7ADD3F0A}" type="presOf" srcId="{98FF98E0-A662-45DA-9EEE-93BB71176A1F}" destId="{6C2E320B-7CE8-45C5-8350-E2836CAD774E}" srcOrd="0" destOrd="0" presId="urn:microsoft.com/office/officeart/2005/8/layout/hList1"/>
    <dgm:cxn modelId="{2DA463E1-1880-42D6-B871-D9222178EEE0}" type="presOf" srcId="{9F37173C-4BF1-4D1E-882C-BD5B23B5B3C8}" destId="{78C1F8B7-AA66-4463-B20A-1FF96CE56489}" srcOrd="0" destOrd="0" presId="urn:microsoft.com/office/officeart/2005/8/layout/hList1"/>
    <dgm:cxn modelId="{8EE1B7C7-E873-458D-9C22-FDF399705FDC}" type="presOf" srcId="{93607875-88E7-495D-90C6-E52F4A115F5E}" destId="{909B3904-4067-4825-871C-05E5852CB704}" srcOrd="0" destOrd="0" presId="urn:microsoft.com/office/officeart/2005/8/layout/hList1"/>
    <dgm:cxn modelId="{DAF1B7E4-ADFB-4C34-BA74-574E958BBDF4}" type="presOf" srcId="{66D2ABFF-DAF3-4596-BFEA-CC5DAA569607}" destId="{C16CC2AF-844A-48E5-88A2-3A557C324E47}" srcOrd="0" destOrd="0" presId="urn:microsoft.com/office/officeart/2005/8/layout/hList1"/>
    <dgm:cxn modelId="{040CB117-9B53-452A-BD6A-BF7DDDB9FE4E}" type="presOf" srcId="{4EB60B15-68A2-45A4-861C-33AE6ED020E3}" destId="{9994DC4A-45FF-4335-80F9-3944DAF36DF9}" srcOrd="0" destOrd="1" presId="urn:microsoft.com/office/officeart/2005/8/layout/hList1"/>
    <dgm:cxn modelId="{0CA8ECB9-52E6-4828-BAD7-5964CC7531F1}" srcId="{98FF98E0-A662-45DA-9EEE-93BB71176A1F}" destId="{93607875-88E7-495D-90C6-E52F4A115F5E}" srcOrd="2" destOrd="0" parTransId="{DC8CB140-9550-459F-A9A2-B29652EBD13D}" sibTransId="{1E22FC0C-65C7-4486-86AE-4038D1A2C576}"/>
    <dgm:cxn modelId="{676D5A29-9704-4F98-8374-0D9887083C4B}" srcId="{0DCD01D8-1B8F-4D69-A0D5-6AEB75A0D75A}" destId="{FA80E9CC-CAFD-4B59-870F-6CAC1080A257}" srcOrd="0" destOrd="0" parTransId="{9015BC7D-8A4B-4A8F-8FDC-97EA3478F0B7}" sibTransId="{BE3C0553-59E6-4D36-A2B2-0D862CBFA43B}"/>
    <dgm:cxn modelId="{AD27F44A-3BA6-4D05-81E8-F90B86C11E8F}" srcId="{93607875-88E7-495D-90C6-E52F4A115F5E}" destId="{F0048E07-658F-40DC-96AE-3AE8588147D8}" srcOrd="1" destOrd="0" parTransId="{E60894F2-5D4A-45A5-8677-37ED0053B92A}" sibTransId="{5E75FC51-B57C-4127-9710-AAFF90827D80}"/>
    <dgm:cxn modelId="{652FB74C-CDB8-4541-A906-6AC467BB37DD}" srcId="{93607875-88E7-495D-90C6-E52F4A115F5E}" destId="{57F83B46-57EC-4B2B-95FA-F7F4F83CB544}" srcOrd="2" destOrd="0" parTransId="{8BA7F585-7EDE-4CF7-8BB0-0CAAA98CB9B5}" sibTransId="{8A5363B0-C49A-436C-AAE6-9F8373A5E43C}"/>
    <dgm:cxn modelId="{ADE1F745-5A46-414F-A77E-74981345C7B8}" srcId="{93607875-88E7-495D-90C6-E52F4A115F5E}" destId="{9F37173C-4BF1-4D1E-882C-BD5B23B5B3C8}" srcOrd="0" destOrd="0" parTransId="{752DF160-9571-4050-A94D-ECE8627E5F59}" sibTransId="{01E72777-E7C3-4685-898B-E81B36D34604}"/>
    <dgm:cxn modelId="{9A13DD83-0FFF-4299-A178-59AA5AA1EBEC}" srcId="{98FF98E0-A662-45DA-9EEE-93BB71176A1F}" destId="{66D2ABFF-DAF3-4596-BFEA-CC5DAA569607}" srcOrd="0" destOrd="0" parTransId="{C0C2CB9F-794E-4E51-89B1-CF421397BA93}" sibTransId="{55FB380C-E2CD-4C78-9243-3548C66B9C47}"/>
    <dgm:cxn modelId="{07FC2138-50C9-4D30-8EB9-EF07423817F6}" srcId="{98FF98E0-A662-45DA-9EEE-93BB71176A1F}" destId="{0DCD01D8-1B8F-4D69-A0D5-6AEB75A0D75A}" srcOrd="1" destOrd="0" parTransId="{68D6D5B5-2B6E-4B78-88D3-911451C3CE97}" sibTransId="{C7DC3C11-751B-4886-A8FF-D078678862B6}"/>
    <dgm:cxn modelId="{71A1B797-0C8D-45B5-AA26-44A486D2DE74}" type="presOf" srcId="{4B55D3A1-E68E-4260-BF63-01379FA4F214}" destId="{2CBA7FE0-C3CF-4F44-8FA8-F9DBFB459172}" srcOrd="0" destOrd="1" presId="urn:microsoft.com/office/officeart/2005/8/layout/hList1"/>
    <dgm:cxn modelId="{94055CE3-92AD-4D01-B88B-1E40634EB88A}" type="presParOf" srcId="{6C2E320B-7CE8-45C5-8350-E2836CAD774E}" destId="{A7DD9286-DC33-4FD0-B792-1DB1E6F600D7}" srcOrd="0" destOrd="0" presId="urn:microsoft.com/office/officeart/2005/8/layout/hList1"/>
    <dgm:cxn modelId="{CA76C7AB-851F-4C1E-B06B-6601B5F09EC1}" type="presParOf" srcId="{A7DD9286-DC33-4FD0-B792-1DB1E6F600D7}" destId="{C16CC2AF-844A-48E5-88A2-3A557C324E47}" srcOrd="0" destOrd="0" presId="urn:microsoft.com/office/officeart/2005/8/layout/hList1"/>
    <dgm:cxn modelId="{938EED9B-3F16-4432-9CDE-C432B8941154}" type="presParOf" srcId="{A7DD9286-DC33-4FD0-B792-1DB1E6F600D7}" destId="{2CBA7FE0-C3CF-4F44-8FA8-F9DBFB459172}" srcOrd="1" destOrd="0" presId="urn:microsoft.com/office/officeart/2005/8/layout/hList1"/>
    <dgm:cxn modelId="{B37C40E5-DCB5-4BEA-B629-592599EE43CA}" type="presParOf" srcId="{6C2E320B-7CE8-45C5-8350-E2836CAD774E}" destId="{8AF089CB-31B2-4D10-B7B9-7835FC9513C1}" srcOrd="1" destOrd="0" presId="urn:microsoft.com/office/officeart/2005/8/layout/hList1"/>
    <dgm:cxn modelId="{2421DE09-78B0-480C-9CDC-B965A49B942A}" type="presParOf" srcId="{6C2E320B-7CE8-45C5-8350-E2836CAD774E}" destId="{22D05352-2456-47E4-A539-B4232CE9B84F}" srcOrd="2" destOrd="0" presId="urn:microsoft.com/office/officeart/2005/8/layout/hList1"/>
    <dgm:cxn modelId="{8EB8DDBB-1B08-4F15-990F-380A9E496107}" type="presParOf" srcId="{22D05352-2456-47E4-A539-B4232CE9B84F}" destId="{57D23D62-52BE-4308-9ABE-97149FFC80E2}" srcOrd="0" destOrd="0" presId="urn:microsoft.com/office/officeart/2005/8/layout/hList1"/>
    <dgm:cxn modelId="{0C77D312-1210-443F-8169-CB4E52E8A88B}" type="presParOf" srcId="{22D05352-2456-47E4-A539-B4232CE9B84F}" destId="{9994DC4A-45FF-4335-80F9-3944DAF36DF9}" srcOrd="1" destOrd="0" presId="urn:microsoft.com/office/officeart/2005/8/layout/hList1"/>
    <dgm:cxn modelId="{640DC0FC-CDBD-4012-98C8-F222580B5234}" type="presParOf" srcId="{6C2E320B-7CE8-45C5-8350-E2836CAD774E}" destId="{72937D4A-09A3-4384-9CDF-9D649EAB3768}" srcOrd="3" destOrd="0" presId="urn:microsoft.com/office/officeart/2005/8/layout/hList1"/>
    <dgm:cxn modelId="{D22F2D61-8C8F-457A-ABC0-8B71264D2196}" type="presParOf" srcId="{6C2E320B-7CE8-45C5-8350-E2836CAD774E}" destId="{E144ADF1-3A80-493F-A0D8-CCFAFD976FB2}" srcOrd="4" destOrd="0" presId="urn:microsoft.com/office/officeart/2005/8/layout/hList1"/>
    <dgm:cxn modelId="{E6FBE094-DA6C-434A-8784-93F83607DD6F}" type="presParOf" srcId="{E144ADF1-3A80-493F-A0D8-CCFAFD976FB2}" destId="{909B3904-4067-4825-871C-05E5852CB704}" srcOrd="0" destOrd="0" presId="urn:microsoft.com/office/officeart/2005/8/layout/hList1"/>
    <dgm:cxn modelId="{15C27B1A-36D4-4700-AA20-1F4E6509B17C}" type="presParOf" srcId="{E144ADF1-3A80-493F-A0D8-CCFAFD976FB2}" destId="{78C1F8B7-AA66-4463-B20A-1FF96CE56489}" srcOrd="1" destOrd="0" presId="urn:microsoft.com/office/officeart/2005/8/layout/hList1"/>
  </dgm:cxnLst>
  <dgm:bg/>
  <dgm:whole/>
  <dgm:extLst>
    <a:ext uri="http://schemas.microsoft.com/office/drawing/2008/diagram">
      <dsp:dataModelExt xmlns:dsp="http://schemas.microsoft.com/office/drawing/2008/diagram" relId="rId5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8C83CA-44D1-47C9-A997-41B09817D18B}">
      <dsp:nvSpPr>
        <dsp:cNvPr id="0" name=""/>
        <dsp:cNvSpPr/>
      </dsp:nvSpPr>
      <dsp:spPr>
        <a:xfrm>
          <a:off x="359810" y="546"/>
          <a:ext cx="1306226" cy="783735"/>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r-FR" sz="900" kern="1200"/>
            <a:t>Déclaration du chiffre d'affaires global et du domaine d'activités concerné par le marché</a:t>
          </a:r>
        </a:p>
      </dsp:txBody>
      <dsp:txXfrm>
        <a:off x="359810" y="546"/>
        <a:ext cx="1306226" cy="783735"/>
      </dsp:txXfrm>
    </dsp:sp>
    <dsp:sp modelId="{68F6820A-C614-4E3F-84C3-F6F75A4CBCBC}">
      <dsp:nvSpPr>
        <dsp:cNvPr id="0" name=""/>
        <dsp:cNvSpPr/>
      </dsp:nvSpPr>
      <dsp:spPr>
        <a:xfrm>
          <a:off x="1796659" y="546"/>
          <a:ext cx="1306226" cy="783735"/>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r-FR" sz="900" kern="1200"/>
            <a:t>Travaux exécutés au cours des 5 dernières années ou</a:t>
          </a:r>
        </a:p>
        <a:p>
          <a:pPr lvl="0" algn="ctr" defTabSz="400050">
            <a:lnSpc>
              <a:spcPct val="90000"/>
            </a:lnSpc>
            <a:spcBef>
              <a:spcPct val="0"/>
            </a:spcBef>
            <a:spcAft>
              <a:spcPct val="35000"/>
            </a:spcAft>
          </a:pPr>
          <a:r>
            <a:rPr lang="fr-FR" sz="900" kern="1200"/>
            <a:t>Livraisons/services effectués sur les 3 dernières années</a:t>
          </a:r>
        </a:p>
      </dsp:txBody>
      <dsp:txXfrm>
        <a:off x="1796659" y="546"/>
        <a:ext cx="1306226" cy="783735"/>
      </dsp:txXfrm>
    </dsp:sp>
    <dsp:sp modelId="{A4C0019A-FA96-470C-A7FA-C4FC77D8573F}">
      <dsp:nvSpPr>
        <dsp:cNvPr id="0" name=""/>
        <dsp:cNvSpPr/>
      </dsp:nvSpPr>
      <dsp:spPr>
        <a:xfrm>
          <a:off x="3233508" y="546"/>
          <a:ext cx="1306226" cy="783735"/>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r-FR" sz="900" kern="1200"/>
            <a:t>Assurances des risques professionnels</a:t>
          </a:r>
        </a:p>
      </dsp:txBody>
      <dsp:txXfrm>
        <a:off x="3233508" y="546"/>
        <a:ext cx="1306226" cy="783735"/>
      </dsp:txXfrm>
    </dsp:sp>
    <dsp:sp modelId="{3956F936-0C3F-41A0-A745-C3AC71149696}">
      <dsp:nvSpPr>
        <dsp:cNvPr id="0" name=""/>
        <dsp:cNvSpPr/>
      </dsp:nvSpPr>
      <dsp:spPr>
        <a:xfrm>
          <a:off x="359810" y="914905"/>
          <a:ext cx="1306226" cy="783735"/>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r-FR" sz="900" kern="1200"/>
            <a:t>Effectifs moyens annuels sur les 3 dernières années</a:t>
          </a:r>
        </a:p>
      </dsp:txBody>
      <dsp:txXfrm>
        <a:off x="359810" y="914905"/>
        <a:ext cx="1306226" cy="783735"/>
      </dsp:txXfrm>
    </dsp:sp>
    <dsp:sp modelId="{B56B3D2C-307C-44F6-9315-BD81C52E5B47}">
      <dsp:nvSpPr>
        <dsp:cNvPr id="0" name=""/>
        <dsp:cNvSpPr/>
      </dsp:nvSpPr>
      <dsp:spPr>
        <a:xfrm>
          <a:off x="1796659" y="914905"/>
          <a:ext cx="1306226" cy="783735"/>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r-FR" sz="900" kern="1200"/>
            <a:t>Matériel technique ou équipements au moment de l'exécution du marché</a:t>
          </a:r>
        </a:p>
      </dsp:txBody>
      <dsp:txXfrm>
        <a:off x="1796659" y="914905"/>
        <a:ext cx="1306226" cy="783735"/>
      </dsp:txXfrm>
    </dsp:sp>
    <dsp:sp modelId="{1EA12E71-72FD-4B5A-B7DA-FEA2D4DEDC47}">
      <dsp:nvSpPr>
        <dsp:cNvPr id="0" name=""/>
        <dsp:cNvSpPr/>
      </dsp:nvSpPr>
      <dsp:spPr>
        <a:xfrm>
          <a:off x="3233508" y="914905"/>
          <a:ext cx="1306226" cy="783735"/>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r-FR" sz="900" kern="1200"/>
            <a:t>Certificats de qualification professionnelle </a:t>
          </a:r>
          <a:r>
            <a:rPr lang="fr-FR" sz="900" u="sng" kern="1200"/>
            <a:t>ou équivalent</a:t>
          </a:r>
        </a:p>
      </dsp:txBody>
      <dsp:txXfrm>
        <a:off x="3233508" y="914905"/>
        <a:ext cx="1306226" cy="783735"/>
      </dsp:txXfrm>
    </dsp:sp>
    <dsp:sp modelId="{D01FB8EA-C855-4366-95DC-BC3F052ADA77}">
      <dsp:nvSpPr>
        <dsp:cNvPr id="0" name=""/>
        <dsp:cNvSpPr/>
      </dsp:nvSpPr>
      <dsp:spPr>
        <a:xfrm>
          <a:off x="1796659" y="1829263"/>
          <a:ext cx="1306226" cy="783735"/>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r-FR" sz="900" u="none" kern="1200" baseline="0"/>
            <a:t>Certificats de qualité attestant le respect de certaines normes</a:t>
          </a:r>
        </a:p>
      </dsp:txBody>
      <dsp:txXfrm>
        <a:off x="1796659" y="1829263"/>
        <a:ext cx="1306226" cy="78373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EC3B0F-58B1-447A-8DEC-4DB47EC3DAF5}">
      <dsp:nvSpPr>
        <dsp:cNvPr id="0" name=""/>
        <dsp:cNvSpPr/>
      </dsp:nvSpPr>
      <dsp:spPr>
        <a:xfrm>
          <a:off x="128" y="1382"/>
          <a:ext cx="4755987" cy="337417"/>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fr-FR" sz="1100" b="1" kern="1200"/>
            <a:t>Offre économiquement la plus avantageuse</a:t>
          </a:r>
        </a:p>
      </dsp:txBody>
      <dsp:txXfrm>
        <a:off x="10011" y="11265"/>
        <a:ext cx="4736221" cy="317651"/>
      </dsp:txXfrm>
    </dsp:sp>
    <dsp:sp modelId="{EEB4B856-3BB5-420C-BC4E-13B0C7FD207A}">
      <dsp:nvSpPr>
        <dsp:cNvPr id="0" name=""/>
        <dsp:cNvSpPr/>
      </dsp:nvSpPr>
      <dsp:spPr>
        <a:xfrm>
          <a:off x="158545" y="463000"/>
          <a:ext cx="2158370" cy="1493612"/>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r-FR" sz="900" b="1" u="sng" kern="1200" dirty="0"/>
            <a:t>Critère unique </a:t>
          </a:r>
          <a:r>
            <a:rPr lang="fr-FR" sz="900" b="1" kern="1200" dirty="0"/>
            <a:t>: </a:t>
          </a:r>
        </a:p>
        <a:p>
          <a:pPr lvl="0" algn="ctr" defTabSz="400050">
            <a:lnSpc>
              <a:spcPct val="90000"/>
            </a:lnSpc>
            <a:spcBef>
              <a:spcPct val="0"/>
            </a:spcBef>
            <a:spcAft>
              <a:spcPct val="35000"/>
            </a:spcAft>
          </a:pPr>
          <a:r>
            <a:rPr lang="fr-FR" sz="900" kern="1200" dirty="0"/>
            <a:t>- le </a:t>
          </a:r>
          <a:r>
            <a:rPr lang="fr-FR" sz="900" b="1" kern="1200" dirty="0"/>
            <a:t>prix</a:t>
          </a:r>
          <a:r>
            <a:rPr lang="fr-FR" sz="900" kern="1200" dirty="0"/>
            <a:t>, pour l’achat de services ou fournitures standardisés ; </a:t>
          </a:r>
        </a:p>
        <a:p>
          <a:pPr lvl="0" algn="ctr" defTabSz="400050">
            <a:lnSpc>
              <a:spcPct val="90000"/>
            </a:lnSpc>
            <a:spcBef>
              <a:spcPct val="0"/>
            </a:spcBef>
            <a:spcAft>
              <a:spcPct val="35000"/>
            </a:spcAft>
          </a:pPr>
          <a:r>
            <a:rPr lang="fr-FR" sz="900" kern="1200" dirty="0"/>
            <a:t>- le </a:t>
          </a:r>
          <a:r>
            <a:rPr lang="fr-FR" sz="900" b="1" kern="1200" dirty="0"/>
            <a:t>coût</a:t>
          </a:r>
          <a:r>
            <a:rPr lang="fr-FR" sz="900" kern="1200" dirty="0"/>
            <a:t>, déterminé selon une approche globale qui peut être fondée sur le coût du cycle de vie.</a:t>
          </a:r>
          <a:endParaRPr lang="fr-FR" sz="900" kern="1200"/>
        </a:p>
      </dsp:txBody>
      <dsp:txXfrm>
        <a:off x="202291" y="506746"/>
        <a:ext cx="2070878" cy="1406120"/>
      </dsp:txXfrm>
    </dsp:sp>
    <dsp:sp modelId="{0EFD5A8F-300A-440E-916E-5DD3C4095EFC}">
      <dsp:nvSpPr>
        <dsp:cNvPr id="0" name=""/>
        <dsp:cNvSpPr/>
      </dsp:nvSpPr>
      <dsp:spPr>
        <a:xfrm>
          <a:off x="366241" y="2082196"/>
          <a:ext cx="1207600" cy="811128"/>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r-FR" sz="900" b="1" kern="1200"/>
            <a:t>Critères </a:t>
          </a:r>
          <a:r>
            <a:rPr lang="fr-FR" sz="900" kern="1200"/>
            <a:t>(et pondération) </a:t>
          </a:r>
          <a:r>
            <a:rPr lang="fr-FR" sz="900" b="1" kern="1200"/>
            <a:t>annoncés </a:t>
          </a:r>
          <a:r>
            <a:rPr lang="fr-FR" sz="900" kern="1200"/>
            <a:t>dans les documents de la consultation</a:t>
          </a:r>
        </a:p>
      </dsp:txBody>
      <dsp:txXfrm>
        <a:off x="389998" y="2105953"/>
        <a:ext cx="1160086" cy="763614"/>
      </dsp:txXfrm>
    </dsp:sp>
    <dsp:sp modelId="{A837AC54-7BE7-4B2D-BCFE-66339567A6F0}">
      <dsp:nvSpPr>
        <dsp:cNvPr id="0" name=""/>
        <dsp:cNvSpPr/>
      </dsp:nvSpPr>
      <dsp:spPr>
        <a:xfrm>
          <a:off x="1797248" y="2083518"/>
          <a:ext cx="1207600" cy="809806"/>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r-FR" sz="900" b="1" kern="1200" dirty="0"/>
            <a:t>Critères </a:t>
          </a:r>
          <a:r>
            <a:rPr lang="fr-FR" sz="900" kern="1200" dirty="0"/>
            <a:t>non discriminatoires et </a:t>
          </a:r>
        </a:p>
        <a:p>
          <a:pPr lvl="0" algn="ctr" defTabSz="400050">
            <a:lnSpc>
              <a:spcPct val="90000"/>
            </a:lnSpc>
            <a:spcBef>
              <a:spcPct val="0"/>
            </a:spcBef>
            <a:spcAft>
              <a:spcPct val="35000"/>
            </a:spcAft>
          </a:pPr>
          <a:r>
            <a:rPr lang="fr-FR" sz="900" b="1" kern="1200" dirty="0"/>
            <a:t>liés à l’objet du marché</a:t>
          </a:r>
          <a:endParaRPr lang="fr-FR" sz="900" b="1" kern="1200"/>
        </a:p>
      </dsp:txBody>
      <dsp:txXfrm>
        <a:off x="1820966" y="2107236"/>
        <a:ext cx="1160164" cy="762370"/>
      </dsp:txXfrm>
    </dsp:sp>
    <dsp:sp modelId="{AE0C6C5E-2620-463F-B183-723746C94D6E}">
      <dsp:nvSpPr>
        <dsp:cNvPr id="0" name=""/>
        <dsp:cNvSpPr/>
      </dsp:nvSpPr>
      <dsp:spPr>
        <a:xfrm>
          <a:off x="2470666" y="463000"/>
          <a:ext cx="2179344" cy="1491399"/>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ts val="300"/>
            </a:spcAft>
          </a:pPr>
          <a:r>
            <a:rPr lang="fr-FR" sz="900" b="1" u="sng" kern="1200" dirty="0"/>
            <a:t>Pluralité de critères </a:t>
          </a:r>
          <a:r>
            <a:rPr lang="fr-FR" sz="900" b="1" kern="1200" dirty="0"/>
            <a:t>: </a:t>
          </a:r>
        </a:p>
        <a:p>
          <a:pPr lvl="0" algn="ctr" defTabSz="400050">
            <a:lnSpc>
              <a:spcPct val="90000"/>
            </a:lnSpc>
            <a:spcBef>
              <a:spcPct val="0"/>
            </a:spcBef>
            <a:spcAft>
              <a:spcPts val="300"/>
            </a:spcAft>
          </a:pPr>
          <a:r>
            <a:rPr lang="fr-FR" sz="900" kern="1200" dirty="0"/>
            <a:t>- le </a:t>
          </a:r>
          <a:r>
            <a:rPr lang="fr-FR" sz="900" b="1" kern="1200" dirty="0"/>
            <a:t>prix</a:t>
          </a:r>
          <a:r>
            <a:rPr lang="fr-FR" sz="900" kern="1200" dirty="0"/>
            <a:t> ou le coût ; </a:t>
          </a:r>
        </a:p>
        <a:p>
          <a:pPr lvl="0" algn="ctr" defTabSz="400050">
            <a:lnSpc>
              <a:spcPct val="90000"/>
            </a:lnSpc>
            <a:spcBef>
              <a:spcPct val="0"/>
            </a:spcBef>
            <a:spcAft>
              <a:spcPts val="300"/>
            </a:spcAft>
          </a:pPr>
          <a:r>
            <a:rPr lang="fr-FR" sz="900" kern="1200" dirty="0"/>
            <a:t>- la </a:t>
          </a:r>
          <a:r>
            <a:rPr lang="fr-FR" sz="900" b="1" kern="1200" dirty="0"/>
            <a:t>qualité</a:t>
          </a:r>
          <a:r>
            <a:rPr lang="fr-FR" sz="900" kern="1200" dirty="0"/>
            <a:t> (valeur technique, performances environnementales, caractère innovant…) ; </a:t>
          </a:r>
        </a:p>
        <a:p>
          <a:pPr lvl="0" algn="ctr" defTabSz="400050">
            <a:lnSpc>
              <a:spcPct val="90000"/>
            </a:lnSpc>
            <a:spcBef>
              <a:spcPct val="0"/>
            </a:spcBef>
            <a:spcAft>
              <a:spcPts val="300"/>
            </a:spcAft>
          </a:pPr>
          <a:r>
            <a:rPr lang="fr-FR" sz="900" kern="1200" dirty="0"/>
            <a:t>- les </a:t>
          </a:r>
          <a:r>
            <a:rPr lang="fr-FR" sz="900" b="1" kern="1200" dirty="0"/>
            <a:t>délais</a:t>
          </a:r>
          <a:r>
            <a:rPr lang="fr-FR" sz="900" kern="1200" dirty="0"/>
            <a:t> d’exécution ;</a:t>
          </a:r>
        </a:p>
        <a:p>
          <a:pPr lvl="0" algn="ctr" defTabSz="400050">
            <a:lnSpc>
              <a:spcPct val="90000"/>
            </a:lnSpc>
            <a:spcBef>
              <a:spcPct val="0"/>
            </a:spcBef>
            <a:spcAft>
              <a:spcPts val="100"/>
            </a:spcAft>
          </a:pPr>
          <a:r>
            <a:rPr lang="fr-FR" sz="900" kern="1200" dirty="0"/>
            <a:t>- le personnel (organisation et qualification) ;</a:t>
          </a:r>
        </a:p>
        <a:p>
          <a:pPr lvl="0" algn="ctr" defTabSz="400050">
            <a:lnSpc>
              <a:spcPct val="90000"/>
            </a:lnSpc>
            <a:spcBef>
              <a:spcPct val="0"/>
            </a:spcBef>
            <a:spcAft>
              <a:spcPts val="300"/>
            </a:spcAft>
          </a:pPr>
          <a:r>
            <a:rPr lang="fr-FR" sz="900" kern="1200" dirty="0"/>
            <a:t>- etc. </a:t>
          </a:r>
          <a:endParaRPr lang="fr-FR" sz="900" kern="1200"/>
        </a:p>
      </dsp:txBody>
      <dsp:txXfrm>
        <a:off x="2514348" y="506682"/>
        <a:ext cx="2091980" cy="1404035"/>
      </dsp:txXfrm>
    </dsp:sp>
    <dsp:sp modelId="{5DC3B81F-AE7B-4042-869E-844AC93D0667}">
      <dsp:nvSpPr>
        <dsp:cNvPr id="0" name=""/>
        <dsp:cNvSpPr/>
      </dsp:nvSpPr>
      <dsp:spPr>
        <a:xfrm>
          <a:off x="3248246" y="2087188"/>
          <a:ext cx="1207600" cy="806136"/>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ts val="0"/>
            </a:spcAft>
          </a:pPr>
          <a:r>
            <a:rPr lang="fr-FR" sz="900" kern="1200" dirty="0"/>
            <a:t>Critères applicables aux </a:t>
          </a:r>
          <a:r>
            <a:rPr lang="fr-FR" sz="900" b="1" kern="1200" dirty="0"/>
            <a:t>offres de base </a:t>
          </a:r>
        </a:p>
        <a:p>
          <a:pPr lvl="0" algn="ctr" defTabSz="400050">
            <a:lnSpc>
              <a:spcPct val="90000"/>
            </a:lnSpc>
            <a:spcBef>
              <a:spcPct val="0"/>
            </a:spcBef>
            <a:spcAft>
              <a:spcPct val="35000"/>
            </a:spcAft>
          </a:pPr>
          <a:r>
            <a:rPr lang="fr-FR" sz="900" kern="1200" dirty="0"/>
            <a:t>et aux </a:t>
          </a:r>
          <a:r>
            <a:rPr lang="fr-FR" sz="900" b="1" kern="1200" dirty="0"/>
            <a:t>variantes</a:t>
          </a:r>
          <a:endParaRPr lang="fr-FR" sz="900" b="1" kern="1200"/>
        </a:p>
      </dsp:txBody>
      <dsp:txXfrm>
        <a:off x="3271857" y="2110799"/>
        <a:ext cx="1160378" cy="75891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6CC2AF-844A-48E5-88A2-3A557C324E47}">
      <dsp:nvSpPr>
        <dsp:cNvPr id="0" name=""/>
        <dsp:cNvSpPr/>
      </dsp:nvSpPr>
      <dsp:spPr>
        <a:xfrm>
          <a:off x="1483" y="1571"/>
          <a:ext cx="1446430" cy="239062"/>
        </a:xfrm>
        <a:prstGeom prst="rect">
          <a:avLst/>
        </a:prstGeom>
        <a:solidFill>
          <a:srgbClr val="ED7D31">
            <a:hueOff val="0"/>
            <a:satOff val="0"/>
            <a:lumOff val="0"/>
            <a:alphaOff val="0"/>
          </a:srgb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66725">
            <a:lnSpc>
              <a:spcPct val="90000"/>
            </a:lnSpc>
            <a:spcBef>
              <a:spcPct val="0"/>
            </a:spcBef>
            <a:spcAft>
              <a:spcPct val="35000"/>
            </a:spcAft>
          </a:pPr>
          <a:r>
            <a:rPr lang="fr-FR" sz="1050" b="1" kern="1200">
              <a:solidFill>
                <a:sysClr val="window" lastClr="FFFFFF"/>
              </a:solidFill>
              <a:latin typeface="Calibri" panose="020F0502020204030204"/>
              <a:ea typeface="+mn-ea"/>
              <a:cs typeface="+mn-cs"/>
            </a:rPr>
            <a:t>Variante</a:t>
          </a:r>
        </a:p>
      </dsp:txBody>
      <dsp:txXfrm>
        <a:off x="1483" y="1571"/>
        <a:ext cx="1446430" cy="239062"/>
      </dsp:txXfrm>
    </dsp:sp>
    <dsp:sp modelId="{2CBA7FE0-C3CF-4F44-8FA8-F9DBFB459172}">
      <dsp:nvSpPr>
        <dsp:cNvPr id="0" name=""/>
        <dsp:cNvSpPr/>
      </dsp:nvSpPr>
      <dsp:spPr>
        <a:xfrm>
          <a:off x="0" y="242205"/>
          <a:ext cx="1446430" cy="1275996"/>
        </a:xfrm>
        <a:prstGeom prst="rect">
          <a:avLst/>
        </a:prstGeo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fr-FR" sz="900" kern="1200">
              <a:solidFill>
                <a:sysClr val="windowText" lastClr="000000">
                  <a:hueOff val="0"/>
                  <a:satOff val="0"/>
                  <a:lumOff val="0"/>
                  <a:alphaOff val="0"/>
                </a:sysClr>
              </a:solidFill>
              <a:latin typeface="Calibri" panose="020F0502020204030204"/>
              <a:ea typeface="+mn-ea"/>
              <a:cs typeface="+mn-cs"/>
            </a:rPr>
            <a:t>Peut être à l'initiative du candidat ou de l'acheteur.</a:t>
          </a:r>
        </a:p>
        <a:p>
          <a:pPr marL="57150" lvl="1" indent="-57150" algn="l" defTabSz="88900">
            <a:lnSpc>
              <a:spcPct val="90000"/>
            </a:lnSpc>
            <a:spcBef>
              <a:spcPct val="0"/>
            </a:spcBef>
            <a:spcAft>
              <a:spcPct val="15000"/>
            </a:spcAft>
            <a:buChar char="••"/>
          </a:pPr>
          <a:endParaRPr lang="fr-FR" sz="2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400050">
            <a:lnSpc>
              <a:spcPct val="90000"/>
            </a:lnSpc>
            <a:spcBef>
              <a:spcPct val="0"/>
            </a:spcBef>
            <a:spcAft>
              <a:spcPct val="15000"/>
            </a:spcAft>
            <a:buChar char="••"/>
          </a:pPr>
          <a:r>
            <a:rPr lang="fr-FR" sz="900" kern="1200">
              <a:solidFill>
                <a:sysClr val="windowText" lastClr="000000">
                  <a:hueOff val="0"/>
                  <a:satOff val="0"/>
                  <a:lumOff val="0"/>
                  <a:alphaOff val="0"/>
                </a:sysClr>
              </a:solidFill>
              <a:latin typeface="Calibri" panose="020F0502020204030204"/>
              <a:ea typeface="+mn-ea"/>
              <a:cs typeface="+mn-cs"/>
            </a:rPr>
            <a:t>Correspond à une modification des spécifications techniques de la solution de base.</a:t>
          </a:r>
        </a:p>
      </dsp:txBody>
      <dsp:txXfrm>
        <a:off x="0" y="242205"/>
        <a:ext cx="1446430" cy="1275996"/>
      </dsp:txXfrm>
    </dsp:sp>
    <dsp:sp modelId="{57D23D62-52BE-4308-9ABE-97149FFC80E2}">
      <dsp:nvSpPr>
        <dsp:cNvPr id="0" name=""/>
        <dsp:cNvSpPr/>
      </dsp:nvSpPr>
      <dsp:spPr>
        <a:xfrm>
          <a:off x="1610652" y="0"/>
          <a:ext cx="1446430" cy="239062"/>
        </a:xfrm>
        <a:prstGeom prst="rect">
          <a:avLst/>
        </a:prstGeom>
        <a:solidFill>
          <a:srgbClr val="A5A5A5">
            <a:hueOff val="0"/>
            <a:satOff val="0"/>
            <a:lumOff val="0"/>
            <a:alphaOff val="0"/>
          </a:srgb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66725">
            <a:lnSpc>
              <a:spcPct val="90000"/>
            </a:lnSpc>
            <a:spcBef>
              <a:spcPct val="0"/>
            </a:spcBef>
            <a:spcAft>
              <a:spcPct val="35000"/>
            </a:spcAft>
          </a:pPr>
          <a:r>
            <a:rPr lang="fr-FR" sz="1050" b="1" kern="1200">
              <a:solidFill>
                <a:sysClr val="window" lastClr="FFFFFF"/>
              </a:solidFill>
              <a:latin typeface="Calibri" panose="020F0502020204030204"/>
              <a:ea typeface="+mn-ea"/>
              <a:cs typeface="+mn-cs"/>
            </a:rPr>
            <a:t>PSE</a:t>
          </a:r>
        </a:p>
      </dsp:txBody>
      <dsp:txXfrm>
        <a:off x="1610652" y="0"/>
        <a:ext cx="1446430" cy="239062"/>
      </dsp:txXfrm>
    </dsp:sp>
    <dsp:sp modelId="{9994DC4A-45FF-4335-80F9-3944DAF36DF9}">
      <dsp:nvSpPr>
        <dsp:cNvPr id="0" name=""/>
        <dsp:cNvSpPr/>
      </dsp:nvSpPr>
      <dsp:spPr>
        <a:xfrm>
          <a:off x="1602711" y="242205"/>
          <a:ext cx="1446430" cy="1275996"/>
        </a:xfrm>
        <a:prstGeom prst="rect">
          <a:avLst/>
        </a:prstGeo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fr-FR" sz="800" kern="1200">
              <a:solidFill>
                <a:sysClr val="windowText" lastClr="000000">
                  <a:hueOff val="0"/>
                  <a:satOff val="0"/>
                  <a:lumOff val="0"/>
                  <a:alphaOff val="0"/>
                </a:sysClr>
              </a:solidFill>
              <a:latin typeface="Calibri" panose="020F0502020204030204"/>
              <a:ea typeface="+mn-ea"/>
              <a:cs typeface="+mn-cs"/>
            </a:rPr>
            <a:t>A l'initiative de l'acheteur uniquement</a:t>
          </a:r>
          <a:endParaRPr lang="fr-FR" sz="800" kern="1200">
            <a:solidFill>
              <a:srgbClr val="FF0000"/>
            </a:solidFill>
            <a:latin typeface="Calibri" panose="020F0502020204030204"/>
            <a:ea typeface="+mn-ea"/>
            <a:cs typeface="+mn-cs"/>
          </a:endParaRPr>
        </a:p>
        <a:p>
          <a:pPr marL="57150" lvl="1" indent="-57150" algn="l" defTabSz="355600">
            <a:lnSpc>
              <a:spcPct val="90000"/>
            </a:lnSpc>
            <a:spcBef>
              <a:spcPct val="0"/>
            </a:spcBef>
            <a:spcAft>
              <a:spcPct val="15000"/>
            </a:spcAft>
            <a:buChar char="••"/>
          </a:pPr>
          <a:r>
            <a:rPr lang="fr-FR" sz="800" kern="1200">
              <a:solidFill>
                <a:sysClr val="windowText" lastClr="000000">
                  <a:hueOff val="0"/>
                  <a:satOff val="0"/>
                  <a:lumOff val="0"/>
                  <a:alphaOff val="0"/>
                </a:sysClr>
              </a:solidFill>
              <a:latin typeface="Calibri" panose="020F0502020204030204"/>
              <a:ea typeface="+mn-ea"/>
              <a:cs typeface="+mn-cs"/>
            </a:rPr>
            <a:t>Correspond à des prestations (en lien avec l'objet du marché), qui peuvent être commandées ou non à </a:t>
          </a:r>
          <a:r>
            <a:rPr lang="fr-FR" sz="800" kern="1200">
              <a:solidFill>
                <a:sysClr val="windowText" lastClr="000000"/>
              </a:solidFill>
              <a:latin typeface="Calibri" panose="020F0502020204030204"/>
              <a:ea typeface="+mn-ea"/>
              <a:cs typeface="+mn-cs"/>
            </a:rPr>
            <a:t>la signature du contrat.</a:t>
          </a:r>
        </a:p>
        <a:p>
          <a:pPr marL="57150" lvl="1" indent="-57150" algn="l" defTabSz="355600">
            <a:lnSpc>
              <a:spcPct val="90000"/>
            </a:lnSpc>
            <a:spcBef>
              <a:spcPct val="0"/>
            </a:spcBef>
            <a:spcAft>
              <a:spcPct val="15000"/>
            </a:spcAft>
            <a:buChar char="••"/>
          </a:pPr>
          <a:r>
            <a:rPr lang="fr-FR" sz="800" kern="1200">
              <a:solidFill>
                <a:sysClr val="windowText" lastClr="000000"/>
              </a:solidFill>
              <a:latin typeface="Calibri" panose="020F0502020204030204"/>
              <a:ea typeface="+mn-ea"/>
              <a:cs typeface="+mn-cs"/>
            </a:rPr>
            <a:t>S'ajoute à la solution de base sans s'y substituer</a:t>
          </a:r>
          <a:r>
            <a:rPr lang="fr-FR" sz="900" kern="1200">
              <a:solidFill>
                <a:sysClr val="windowText" lastClr="000000"/>
              </a:solidFill>
              <a:latin typeface="Calibri" panose="020F0502020204030204"/>
              <a:ea typeface="+mn-ea"/>
              <a:cs typeface="+mn-cs"/>
            </a:rPr>
            <a:t>.</a:t>
          </a:r>
        </a:p>
      </dsp:txBody>
      <dsp:txXfrm>
        <a:off x="1602711" y="242205"/>
        <a:ext cx="1446430" cy="1275996"/>
      </dsp:txXfrm>
    </dsp:sp>
    <dsp:sp modelId="{909B3904-4067-4825-871C-05E5852CB704}">
      <dsp:nvSpPr>
        <dsp:cNvPr id="0" name=""/>
        <dsp:cNvSpPr/>
      </dsp:nvSpPr>
      <dsp:spPr>
        <a:xfrm>
          <a:off x="3299345" y="1571"/>
          <a:ext cx="1446430" cy="239062"/>
        </a:xfrm>
        <a:prstGeom prst="rect">
          <a:avLst/>
        </a:prstGeom>
        <a:solidFill>
          <a:srgbClr val="FFC000">
            <a:hueOff val="0"/>
            <a:satOff val="0"/>
            <a:lumOff val="0"/>
            <a:alphaOff val="0"/>
          </a:srgbClr>
        </a:solidFill>
        <a:ln w="12700" cap="flat" cmpd="sng" algn="ctr">
          <a:solidFill>
            <a:srgbClr val="FFC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66725">
            <a:lnSpc>
              <a:spcPct val="90000"/>
            </a:lnSpc>
            <a:spcBef>
              <a:spcPct val="0"/>
            </a:spcBef>
            <a:spcAft>
              <a:spcPct val="35000"/>
            </a:spcAft>
          </a:pPr>
          <a:r>
            <a:rPr lang="fr-FR" sz="1050" b="1" kern="1200">
              <a:solidFill>
                <a:sysClr val="window" lastClr="FFFFFF"/>
              </a:solidFill>
              <a:latin typeface="Calibri" panose="020F0502020204030204"/>
              <a:ea typeface="+mn-ea"/>
              <a:cs typeface="+mn-cs"/>
            </a:rPr>
            <a:t>Option</a:t>
          </a:r>
        </a:p>
      </dsp:txBody>
      <dsp:txXfrm>
        <a:off x="3299345" y="1571"/>
        <a:ext cx="1446430" cy="239062"/>
      </dsp:txXfrm>
    </dsp:sp>
    <dsp:sp modelId="{78C1F8B7-AA66-4463-B20A-1FF96CE56489}">
      <dsp:nvSpPr>
        <dsp:cNvPr id="0" name=""/>
        <dsp:cNvSpPr/>
      </dsp:nvSpPr>
      <dsp:spPr>
        <a:xfrm>
          <a:off x="3299345" y="240634"/>
          <a:ext cx="1446430" cy="1275996"/>
        </a:xfrm>
        <a:prstGeom prst="rect">
          <a:avLst/>
        </a:prstGeo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fr-FR" sz="800" kern="1200">
              <a:solidFill>
                <a:sysClr val="windowText" lastClr="000000">
                  <a:hueOff val="0"/>
                  <a:satOff val="0"/>
                  <a:lumOff val="0"/>
                  <a:alphaOff val="0"/>
                </a:sysClr>
              </a:solidFill>
              <a:latin typeface="Calibri" panose="020F0502020204030204"/>
              <a:ea typeface="+mn-ea"/>
              <a:cs typeface="+mn-cs"/>
            </a:rPr>
            <a:t>A l'initiative de l'acheteur uniquement (notion européenne).</a:t>
          </a:r>
        </a:p>
        <a:p>
          <a:pPr marL="57150" lvl="1" indent="-57150" algn="l" defTabSz="44450">
            <a:lnSpc>
              <a:spcPct val="90000"/>
            </a:lnSpc>
            <a:spcBef>
              <a:spcPct val="0"/>
            </a:spcBef>
            <a:spcAft>
              <a:spcPct val="15000"/>
            </a:spcAft>
            <a:buChar char="••"/>
          </a:pPr>
          <a:endParaRPr lang="fr-FR" sz="1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355600">
            <a:lnSpc>
              <a:spcPct val="90000"/>
            </a:lnSpc>
            <a:spcBef>
              <a:spcPct val="0"/>
            </a:spcBef>
            <a:spcAft>
              <a:spcPct val="15000"/>
            </a:spcAft>
            <a:buChar char="••"/>
          </a:pPr>
          <a:r>
            <a:rPr lang="fr-FR" sz="800" kern="1200">
              <a:solidFill>
                <a:sysClr val="windowText" lastClr="000000">
                  <a:hueOff val="0"/>
                  <a:satOff val="0"/>
                  <a:lumOff val="0"/>
                  <a:alphaOff val="0"/>
                </a:sysClr>
              </a:solidFill>
              <a:latin typeface="Calibri" panose="020F0502020204030204"/>
              <a:ea typeface="+mn-ea"/>
              <a:cs typeface="+mn-cs"/>
            </a:rPr>
            <a:t>Correspond à des prestations susceptibles de s’ajouter, sans remise en concurrence si prévu dans le marché initial (principalement : marchés dits "similaires", tranches optionnelles). </a:t>
          </a:r>
        </a:p>
      </dsp:txBody>
      <dsp:txXfrm>
        <a:off x="3299345" y="240634"/>
        <a:ext cx="1446430" cy="1275996"/>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F5CA1-75BE-4229-8942-709A2D62A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946</TotalTime>
  <Pages>44</Pages>
  <Words>20277</Words>
  <Characters>111528</Characters>
  <Application>Microsoft Office Word</Application>
  <DocSecurity>0</DocSecurity>
  <Lines>929</Lines>
  <Paragraphs>263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Secrétariat Général</Company>
  <LinksUpToDate>false</LinksUpToDate>
  <CharactersWithSpaces>131542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CHLEILAT Sarah</dc:creator>
  <cp:keywords/>
  <dc:description/>
  <cp:lastModifiedBy>CHLEILAT Sarah</cp:lastModifiedBy>
  <cp:revision>262</cp:revision>
  <cp:lastPrinted>2019-04-29T08:54:00Z</cp:lastPrinted>
  <dcterms:created xsi:type="dcterms:W3CDTF">2019-04-23T16:13:00Z</dcterms:created>
  <dcterms:modified xsi:type="dcterms:W3CDTF">2019-04-29T12:36:00Z</dcterms:modified>
</cp:coreProperties>
</file>